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4F5BE" w14:textId="77777777" w:rsidR="008F7486" w:rsidRPr="008F7486" w:rsidRDefault="008F7486" w:rsidP="006B605A">
      <w:pPr>
        <w:spacing w:before="0" w:after="0" w:line="260" w:lineRule="atLeast"/>
        <w:rPr>
          <w:rFonts w:ascii="Arial" w:eastAsia="Times New Roman" w:hAnsi="Arial" w:cs="Arial"/>
          <w:b/>
          <w:sz w:val="20"/>
          <w:szCs w:val="20"/>
        </w:rPr>
      </w:pPr>
    </w:p>
    <w:p w14:paraId="2CB43B70" w14:textId="77777777" w:rsidR="008F7486" w:rsidRPr="008F7486" w:rsidRDefault="008F7486" w:rsidP="008F7486">
      <w:pPr>
        <w:spacing w:before="0" w:after="0" w:line="260" w:lineRule="atLeast"/>
        <w:jc w:val="center"/>
        <w:rPr>
          <w:rFonts w:ascii="Arial" w:eastAsia="Times New Roman" w:hAnsi="Arial" w:cs="Arial"/>
          <w:b/>
          <w:sz w:val="20"/>
          <w:szCs w:val="20"/>
        </w:rPr>
      </w:pPr>
    </w:p>
    <w:p w14:paraId="1959011F" w14:textId="2AD3E73F" w:rsidR="008F7486" w:rsidRDefault="006704D4" w:rsidP="008F7486">
      <w:pPr>
        <w:spacing w:before="0" w:after="0" w:line="260" w:lineRule="atLeast"/>
        <w:jc w:val="center"/>
        <w:rPr>
          <w:rFonts w:ascii="Arial" w:eastAsia="Times New Roman" w:hAnsi="Arial" w:cs="Arial"/>
          <w:b/>
          <w:sz w:val="20"/>
          <w:szCs w:val="20"/>
        </w:rPr>
      </w:pPr>
      <w:r>
        <w:rPr>
          <w:rFonts w:ascii="Arial" w:eastAsia="Times New Roman" w:hAnsi="Arial" w:cs="Arial"/>
          <w:b/>
          <w:sz w:val="20"/>
          <w:szCs w:val="20"/>
        </w:rPr>
        <w:t>PROJEKTNA NALOGA (</w:t>
      </w:r>
      <w:r w:rsidR="008F7486" w:rsidRPr="008F7486">
        <w:rPr>
          <w:rFonts w:ascii="Arial" w:eastAsia="Times New Roman" w:hAnsi="Arial" w:cs="Arial"/>
          <w:b/>
          <w:sz w:val="20"/>
          <w:szCs w:val="20"/>
        </w:rPr>
        <w:t>OPIS NAROČILA</w:t>
      </w:r>
      <w:r>
        <w:rPr>
          <w:rFonts w:ascii="Arial" w:eastAsia="Times New Roman" w:hAnsi="Arial" w:cs="Arial"/>
          <w:b/>
          <w:sz w:val="20"/>
          <w:szCs w:val="20"/>
        </w:rPr>
        <w:t>)</w:t>
      </w:r>
    </w:p>
    <w:p w14:paraId="1E5B2B50" w14:textId="77777777" w:rsidR="006B605A" w:rsidRPr="008F7486" w:rsidRDefault="006B605A" w:rsidP="008F7486">
      <w:pPr>
        <w:spacing w:before="0" w:after="0" w:line="260" w:lineRule="atLeast"/>
        <w:jc w:val="center"/>
        <w:rPr>
          <w:rFonts w:ascii="Arial" w:eastAsia="Times New Roman" w:hAnsi="Arial" w:cs="Arial"/>
          <w:b/>
          <w:sz w:val="20"/>
          <w:szCs w:val="20"/>
        </w:rPr>
      </w:pPr>
    </w:p>
    <w:p w14:paraId="068CB60A" w14:textId="20E0224B" w:rsidR="008F7486" w:rsidRDefault="008F7486" w:rsidP="008F7486">
      <w:pPr>
        <w:spacing w:before="0" w:after="0" w:line="260" w:lineRule="atLeast"/>
        <w:jc w:val="center"/>
        <w:rPr>
          <w:rFonts w:ascii="Arial" w:eastAsia="Times New Roman" w:hAnsi="Arial" w:cs="Arial"/>
          <w:b/>
          <w:sz w:val="20"/>
          <w:szCs w:val="20"/>
        </w:rPr>
      </w:pPr>
      <w:r w:rsidRPr="008F7486">
        <w:rPr>
          <w:rFonts w:ascii="Arial" w:eastAsia="Times New Roman" w:hAnsi="Arial" w:cs="Arial"/>
          <w:b/>
          <w:sz w:val="20"/>
          <w:szCs w:val="20"/>
        </w:rPr>
        <w:t xml:space="preserve">MONITORING RASTLINSTVA, ŽIVALSTVA IN HABITATNIH TIPOV PRI GRADNJI DRUGEGA TIRA ŽELEZNIŠKE PROGE DIVAČA – KOPER </w:t>
      </w:r>
    </w:p>
    <w:p w14:paraId="51906086" w14:textId="77777777" w:rsidR="006B605A" w:rsidRPr="008F7486" w:rsidRDefault="006B605A" w:rsidP="008F7486">
      <w:pPr>
        <w:spacing w:before="0" w:after="0" w:line="260" w:lineRule="atLeast"/>
        <w:jc w:val="center"/>
        <w:rPr>
          <w:rFonts w:ascii="Arial" w:eastAsia="Times New Roman" w:hAnsi="Arial" w:cs="Arial"/>
          <w:b/>
          <w:sz w:val="20"/>
          <w:szCs w:val="20"/>
        </w:rPr>
      </w:pPr>
    </w:p>
    <w:p w14:paraId="5F3064D0" w14:textId="77777777" w:rsidR="008F7486" w:rsidRPr="008F7486" w:rsidRDefault="008F7486" w:rsidP="008F7486">
      <w:pPr>
        <w:spacing w:before="0" w:after="0" w:line="260" w:lineRule="atLeast"/>
        <w:jc w:val="left"/>
        <w:rPr>
          <w:rFonts w:ascii="Arial" w:eastAsia="Times New Roman" w:hAnsi="Arial" w:cs="Arial"/>
          <w:sz w:val="20"/>
          <w:szCs w:val="20"/>
        </w:rPr>
      </w:pPr>
    </w:p>
    <w:p w14:paraId="5E986ED4"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UVOD</w:t>
      </w:r>
    </w:p>
    <w:p w14:paraId="18E0B11B" w14:textId="77777777" w:rsidR="008F7486" w:rsidRPr="008F7486" w:rsidRDefault="008F7486" w:rsidP="008F7486">
      <w:pPr>
        <w:spacing w:before="0" w:after="0" w:line="260" w:lineRule="atLeast"/>
        <w:rPr>
          <w:rFonts w:ascii="Arial" w:hAnsi="Arial" w:cs="Arial"/>
          <w:sz w:val="20"/>
          <w:szCs w:val="20"/>
        </w:rPr>
      </w:pPr>
    </w:p>
    <w:p w14:paraId="7EF71679"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 xml:space="preserve">V skladu z Uredbo o državnem lokacijskem načrtu za drugi tir železniške proge na odseku Divača-Koper (Uradni list RS, št. </w:t>
      </w:r>
      <w:hyperlink r:id="rId8" w:tgtFrame="_blank" w:tooltip="Uredba o državnem lokacijskem načrtu za drugi tir železniške proge na odseku Divača–Koper" w:history="1">
        <w:r w:rsidRPr="008F7486">
          <w:rPr>
            <w:rFonts w:ascii="Arial" w:hAnsi="Arial" w:cs="Arial"/>
            <w:sz w:val="20"/>
            <w:szCs w:val="20"/>
          </w:rPr>
          <w:t>43/05</w:t>
        </w:r>
      </w:hyperlink>
      <w:r w:rsidRPr="008F7486">
        <w:rPr>
          <w:rFonts w:ascii="Arial" w:hAnsi="Arial" w:cs="Arial"/>
          <w:sz w:val="20"/>
          <w:szCs w:val="20"/>
        </w:rPr>
        <w:t xml:space="preserve">, </w:t>
      </w:r>
      <w:hyperlink r:id="rId9" w:tgtFrame="_blank" w:tooltip="Uredba o državnem prostorskem načrtu za celovito prostorsko ureditev pristanišča za mednarodni promet v Kopru" w:history="1">
        <w:r w:rsidRPr="008F7486">
          <w:rPr>
            <w:rFonts w:ascii="Arial" w:hAnsi="Arial" w:cs="Arial"/>
            <w:sz w:val="20"/>
            <w:szCs w:val="20"/>
          </w:rPr>
          <w:t>48/11</w:t>
        </w:r>
      </w:hyperlink>
      <w:r w:rsidRPr="008F7486">
        <w:rPr>
          <w:rFonts w:ascii="Arial" w:hAnsi="Arial" w:cs="Arial"/>
          <w:sz w:val="20"/>
          <w:szCs w:val="20"/>
        </w:rPr>
        <w:t xml:space="preserve">, </w:t>
      </w:r>
      <w:hyperlink r:id="rId10" w:tgtFrame="_blank" w:tooltip="Uredba o spremembah in dopolnitvah Uredbe o državnem lokacijskem načrtu za drugi tir železniške proge na odseku Divača–Koper" w:history="1">
        <w:r w:rsidRPr="008F7486">
          <w:rPr>
            <w:rFonts w:ascii="Arial" w:hAnsi="Arial" w:cs="Arial"/>
            <w:sz w:val="20"/>
            <w:szCs w:val="20"/>
          </w:rPr>
          <w:t>59/14</w:t>
        </w:r>
      </w:hyperlink>
      <w:r w:rsidRPr="008F7486">
        <w:rPr>
          <w:rFonts w:ascii="Arial" w:hAnsi="Arial" w:cs="Arial"/>
          <w:sz w:val="20"/>
          <w:szCs w:val="20"/>
        </w:rPr>
        <w:t xml:space="preserve"> in </w:t>
      </w:r>
      <w:hyperlink r:id="rId11" w:tgtFrame="_blank" w:tooltip="Uredba o spremembah in dopolnitvah Uredbe o državnem lokacijskem načrtu za drugi tir železniške proge na odseku Divača–Koper" w:history="1">
        <w:r w:rsidRPr="008F7486">
          <w:rPr>
            <w:rFonts w:ascii="Arial" w:hAnsi="Arial" w:cs="Arial"/>
            <w:sz w:val="20"/>
            <w:szCs w:val="20"/>
          </w:rPr>
          <w:t>88/15</w:t>
        </w:r>
      </w:hyperlink>
      <w:r w:rsidRPr="008F7486">
        <w:rPr>
          <w:rFonts w:ascii="Arial" w:hAnsi="Arial" w:cs="Arial"/>
          <w:sz w:val="20"/>
          <w:szCs w:val="20"/>
        </w:rPr>
        <w:t>) ter drugo veljavno zakonodajo s področja varovanja in ohranjanja narave je treba zagotoviti spremljanje stanja rastlinstva, živalstva in habitatnih tipov pred gradnjo, v času pripravljalnih, zemeljskih in gradbenih del na širšem območju trase drugega tira železniške proge Divača-Koper vključno z dostopnimi cestami.</w:t>
      </w:r>
    </w:p>
    <w:p w14:paraId="68260C9A" w14:textId="77777777" w:rsidR="008F7486" w:rsidRPr="008F7486" w:rsidRDefault="008F7486" w:rsidP="008F7486">
      <w:pPr>
        <w:spacing w:before="0" w:after="0" w:line="260" w:lineRule="atLeast"/>
        <w:rPr>
          <w:rFonts w:ascii="Arial" w:hAnsi="Arial" w:cs="Arial"/>
          <w:sz w:val="20"/>
          <w:szCs w:val="20"/>
        </w:rPr>
      </w:pPr>
    </w:p>
    <w:p w14:paraId="16BE5879"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Za II. tir železniške proge Divača – Koper je bilo dne 13.2.2014 izdano delno okoljevarstveno soglasje (št. 35402-2/2012-96) in 29.10.2014 dopolnilna odločba k delnemu okoljevarstvenemu soglasju (št. 35402-2/2012-100). Za celoten poseg je bilo izdano tudi že gradbeno dovoljenje.</w:t>
      </w:r>
    </w:p>
    <w:p w14:paraId="1F54DC59" w14:textId="77777777" w:rsidR="008F7486" w:rsidRPr="008F7486" w:rsidRDefault="008F7486" w:rsidP="008F7486">
      <w:pPr>
        <w:spacing w:before="0" w:after="0" w:line="260" w:lineRule="atLeast"/>
        <w:rPr>
          <w:rFonts w:ascii="Arial" w:hAnsi="Arial" w:cs="Arial"/>
          <w:sz w:val="20"/>
          <w:szCs w:val="20"/>
        </w:rPr>
      </w:pPr>
    </w:p>
    <w:p w14:paraId="1595F343"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V Poročilu o vplivih na okolje je bil določen okvirni obseg spremljanja stanja po različnih sestavinah okolja. Izdelan je bil tudi Celostni načrt okoljskega monitoringa v času gradnje in v času obratovanja za drugi tir železniške proge na odseku Divača – Koper (</w:t>
      </w:r>
      <w:proofErr w:type="spellStart"/>
      <w:r w:rsidRPr="008F7486">
        <w:rPr>
          <w:rFonts w:ascii="Arial" w:hAnsi="Arial" w:cs="Arial"/>
          <w:sz w:val="20"/>
          <w:szCs w:val="20"/>
        </w:rPr>
        <w:t>Aquarius</w:t>
      </w:r>
      <w:proofErr w:type="spellEnd"/>
      <w:r w:rsidRPr="008F7486">
        <w:rPr>
          <w:rFonts w:ascii="Arial" w:hAnsi="Arial" w:cs="Arial"/>
          <w:sz w:val="20"/>
          <w:szCs w:val="20"/>
        </w:rPr>
        <w:t xml:space="preserve"> d.o.o. Ljubljana, december 2014) ter Elaborat za izvajanje ukrepov za preprečevanje onesnaževanja območja Glinščice (</w:t>
      </w:r>
      <w:proofErr w:type="spellStart"/>
      <w:r w:rsidRPr="008F7486">
        <w:rPr>
          <w:rFonts w:ascii="Arial" w:hAnsi="Arial" w:cs="Arial"/>
          <w:sz w:val="20"/>
          <w:szCs w:val="20"/>
        </w:rPr>
        <w:t>Aquarius</w:t>
      </w:r>
      <w:proofErr w:type="spellEnd"/>
      <w:r w:rsidRPr="008F7486">
        <w:rPr>
          <w:rFonts w:ascii="Arial" w:hAnsi="Arial" w:cs="Arial"/>
          <w:sz w:val="20"/>
          <w:szCs w:val="20"/>
        </w:rPr>
        <w:t xml:space="preserve"> d.o.o. Ljubljana, april 2014), katerega vsebina je bila usklajena s pristojno strokovno inštitucijo – Zavodom RS za varstvo narave. Obveznosti izvajanja monitoringa so opredeljene tudi v Uredbi o državnem lokacijskem načrtu za drugi tir železniške proge na odseku Divača–Koper (Uradni list RS, št. </w:t>
      </w:r>
      <w:hyperlink r:id="rId12" w:tgtFrame="_blank" w:tooltip="Uredba o državnem lokacijskem načrtu za drugi tir železniške proge na odseku Divača–Koper" w:history="1">
        <w:r w:rsidRPr="008F7486">
          <w:rPr>
            <w:rFonts w:ascii="Arial" w:hAnsi="Arial" w:cs="Times New Roman"/>
            <w:sz w:val="20"/>
            <w:szCs w:val="20"/>
          </w:rPr>
          <w:t>43/05</w:t>
        </w:r>
      </w:hyperlink>
      <w:r w:rsidRPr="008F7486">
        <w:rPr>
          <w:rFonts w:ascii="Arial" w:hAnsi="Arial" w:cs="Arial"/>
          <w:sz w:val="20"/>
          <w:szCs w:val="20"/>
        </w:rPr>
        <w:t>, </w:t>
      </w:r>
      <w:hyperlink r:id="rId13" w:tgtFrame="_blank" w:tooltip="Uredba o državnem prostorskem načrtu za celovito prostorsko ureditev pristanišča za mednarodni promet v Kopru" w:history="1">
        <w:r w:rsidRPr="008F7486">
          <w:rPr>
            <w:rFonts w:ascii="Arial" w:hAnsi="Arial" w:cs="Times New Roman"/>
            <w:sz w:val="20"/>
            <w:szCs w:val="20"/>
          </w:rPr>
          <w:t>48/11</w:t>
        </w:r>
      </w:hyperlink>
      <w:r w:rsidRPr="008F7486">
        <w:rPr>
          <w:rFonts w:ascii="Arial" w:hAnsi="Arial" w:cs="Arial"/>
          <w:sz w:val="20"/>
          <w:szCs w:val="20"/>
        </w:rPr>
        <w:t>, </w:t>
      </w:r>
      <w:hyperlink r:id="rId14" w:tgtFrame="_blank" w:tooltip="Uredba o spremembah in dopolnitvah Uredbe o državnem lokacijskem načrtu za drugi tir železniške proge na odseku Divača–Koper" w:history="1">
        <w:r w:rsidRPr="008F7486">
          <w:rPr>
            <w:rFonts w:ascii="Arial" w:hAnsi="Arial" w:cs="Times New Roman"/>
            <w:sz w:val="20"/>
            <w:szCs w:val="20"/>
          </w:rPr>
          <w:t>59/14</w:t>
        </w:r>
      </w:hyperlink>
      <w:r w:rsidRPr="008F7486">
        <w:rPr>
          <w:rFonts w:ascii="Arial" w:hAnsi="Arial" w:cs="Arial"/>
          <w:sz w:val="20"/>
          <w:szCs w:val="20"/>
        </w:rPr>
        <w:t> in </w:t>
      </w:r>
      <w:hyperlink r:id="rId15" w:tgtFrame="_blank" w:tooltip="Uredba o spremembah in dopolnitvah Uredbe o državnem lokacijskem načrtu za drugi tir železniške proge na odseku Divača–Koper" w:history="1">
        <w:r w:rsidRPr="008F7486">
          <w:rPr>
            <w:rFonts w:ascii="Arial" w:hAnsi="Arial" w:cs="Times New Roman"/>
            <w:sz w:val="20"/>
            <w:szCs w:val="20"/>
          </w:rPr>
          <w:t>88/15</w:t>
        </w:r>
      </w:hyperlink>
      <w:r w:rsidRPr="008F7486">
        <w:rPr>
          <w:rFonts w:ascii="Arial" w:hAnsi="Arial" w:cs="Arial"/>
          <w:sz w:val="20"/>
          <w:szCs w:val="20"/>
        </w:rPr>
        <w:t>).</w:t>
      </w:r>
    </w:p>
    <w:p w14:paraId="34A21C45" w14:textId="77777777" w:rsidR="008F7486" w:rsidRPr="008F7486" w:rsidRDefault="008F7486" w:rsidP="008F7486">
      <w:pPr>
        <w:spacing w:before="0" w:after="0" w:line="260" w:lineRule="atLeast"/>
        <w:rPr>
          <w:rFonts w:ascii="Arial" w:hAnsi="Arial" w:cs="Arial"/>
          <w:sz w:val="20"/>
          <w:szCs w:val="20"/>
        </w:rPr>
      </w:pPr>
    </w:p>
    <w:p w14:paraId="4A234F1E"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Pred pričetkom gradnje so bili izvedeni sledeči popisi, ki so v prilogi projektne naloge:</w:t>
      </w:r>
    </w:p>
    <w:p w14:paraId="479F19C0" w14:textId="77777777" w:rsidR="008F7486" w:rsidRPr="008F7486" w:rsidRDefault="008F7486" w:rsidP="008F7486">
      <w:pPr>
        <w:widowControl w:val="0"/>
        <w:numPr>
          <w:ilvl w:val="0"/>
          <w:numId w:val="23"/>
        </w:numPr>
        <w:spacing w:before="0" w:after="200" w:line="260" w:lineRule="atLeast"/>
        <w:contextualSpacing/>
        <w:jc w:val="left"/>
        <w:rPr>
          <w:rFonts w:ascii="Arial" w:eastAsia="Calibri" w:hAnsi="Arial" w:cs="Arial"/>
          <w:sz w:val="20"/>
          <w:szCs w:val="20"/>
        </w:rPr>
      </w:pPr>
      <w:r w:rsidRPr="008F7486">
        <w:rPr>
          <w:rFonts w:ascii="Arial" w:eastAsia="Calibri" w:hAnsi="Arial" w:cs="Arial"/>
          <w:sz w:val="20"/>
          <w:szCs w:val="20"/>
        </w:rPr>
        <w:t>Popis stanja habitatnih tipov, flore, rib in rakov pred gradnjo II. tira železniške proge Divača – Koper v dolini Glinščice (</w:t>
      </w:r>
      <w:proofErr w:type="spellStart"/>
      <w:r w:rsidRPr="008F7486">
        <w:rPr>
          <w:rFonts w:ascii="Arial" w:eastAsia="Calibri" w:hAnsi="Arial" w:cs="Arial"/>
          <w:sz w:val="20"/>
          <w:szCs w:val="20"/>
        </w:rPr>
        <w:t>Aquarius</w:t>
      </w:r>
      <w:proofErr w:type="spellEnd"/>
      <w:r w:rsidRPr="008F7486">
        <w:rPr>
          <w:rFonts w:ascii="Arial" w:eastAsia="Calibri" w:hAnsi="Arial" w:cs="Arial"/>
          <w:sz w:val="20"/>
          <w:szCs w:val="20"/>
        </w:rPr>
        <w:t xml:space="preserve"> d.o.o., Ljubljana, september 2018).</w:t>
      </w:r>
    </w:p>
    <w:p w14:paraId="3DABAB26" w14:textId="77777777" w:rsidR="008F7486" w:rsidRPr="008F7486" w:rsidRDefault="008F7486" w:rsidP="008F7486">
      <w:pPr>
        <w:widowControl w:val="0"/>
        <w:spacing w:before="0" w:after="200"/>
        <w:ind w:left="420"/>
        <w:contextualSpacing/>
        <w:rPr>
          <w:rFonts w:ascii="Arial" w:eastAsia="Calibri" w:hAnsi="Arial" w:cs="Arial"/>
          <w:sz w:val="20"/>
          <w:szCs w:val="20"/>
        </w:rPr>
      </w:pPr>
    </w:p>
    <w:p w14:paraId="7DD1A6D2" w14:textId="77777777" w:rsidR="008F7486" w:rsidRPr="008F7486" w:rsidRDefault="008F7486" w:rsidP="008F7486">
      <w:pPr>
        <w:widowControl w:val="0"/>
        <w:spacing w:before="0" w:after="200"/>
        <w:ind w:left="420"/>
        <w:contextualSpacing/>
        <w:rPr>
          <w:rFonts w:ascii="Arial" w:eastAsia="Calibri" w:hAnsi="Arial" w:cs="Arial"/>
          <w:sz w:val="20"/>
          <w:szCs w:val="20"/>
        </w:rPr>
      </w:pPr>
    </w:p>
    <w:p w14:paraId="6EF9B435"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PREDMET NALOGE</w:t>
      </w:r>
    </w:p>
    <w:p w14:paraId="7C834113" w14:textId="77777777" w:rsidR="008F7486" w:rsidRPr="008F7486" w:rsidRDefault="008F7486" w:rsidP="008F7486">
      <w:pPr>
        <w:spacing w:before="0" w:after="0" w:line="260" w:lineRule="atLeast"/>
        <w:rPr>
          <w:rFonts w:ascii="Arial" w:eastAsia="Times New Roman" w:hAnsi="Arial" w:cs="Arial"/>
          <w:sz w:val="20"/>
          <w:szCs w:val="20"/>
        </w:rPr>
      </w:pPr>
    </w:p>
    <w:p w14:paraId="52645E6D"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 xml:space="preserve">Predmet naloge je izvedba </w:t>
      </w:r>
      <w:r w:rsidRPr="008F7486">
        <w:rPr>
          <w:rFonts w:ascii="Arial" w:eastAsia="Times New Roman" w:hAnsi="Arial" w:cs="Arial"/>
          <w:b/>
          <w:sz w:val="20"/>
          <w:szCs w:val="20"/>
        </w:rPr>
        <w:t xml:space="preserve">popisov in monitoringa habitatnih tipov, ptic, netopirjev, rib, rakov in vodnih organizmov pri gradnji drugega tira železniške proge Divača – Koper od Divače do napajalne postaje Dekani, vključno z gradnjo dostopnih cest. </w:t>
      </w:r>
      <w:r w:rsidRPr="008F7486">
        <w:rPr>
          <w:rFonts w:ascii="Arial" w:eastAsia="Times New Roman" w:hAnsi="Arial" w:cs="Arial"/>
          <w:sz w:val="20"/>
          <w:szCs w:val="20"/>
        </w:rPr>
        <w:t>Podroben opis in vsebina sta navedena v nadaljevanju.</w:t>
      </w:r>
    </w:p>
    <w:p w14:paraId="6F87646B" w14:textId="77777777" w:rsidR="008F7486" w:rsidRPr="008F7486" w:rsidRDefault="008F7486" w:rsidP="008F7486">
      <w:pPr>
        <w:spacing w:before="0" w:after="0" w:line="260" w:lineRule="atLeast"/>
        <w:rPr>
          <w:rFonts w:ascii="Arial" w:eastAsia="Times New Roman" w:hAnsi="Arial" w:cs="Arial"/>
          <w:sz w:val="20"/>
          <w:szCs w:val="20"/>
        </w:rPr>
      </w:pPr>
    </w:p>
    <w:p w14:paraId="3824617F" w14:textId="41EBD08E"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Gradnja bo predvidoma trajala 7 let, zato se naloga razpisuje za obdobje sedmih let</w:t>
      </w:r>
      <w:r w:rsidR="001E06AE">
        <w:rPr>
          <w:rFonts w:ascii="Arial" w:eastAsia="Times New Roman" w:hAnsi="Arial" w:cs="Arial"/>
          <w:sz w:val="20"/>
          <w:szCs w:val="20"/>
        </w:rPr>
        <w:t xml:space="preserve"> </w:t>
      </w:r>
      <w:bookmarkStart w:id="0" w:name="_GoBack"/>
      <w:bookmarkEnd w:id="0"/>
      <w:r w:rsidR="001E06AE">
        <w:rPr>
          <w:rFonts w:ascii="Arial" w:eastAsia="Times New Roman" w:hAnsi="Arial" w:cs="Arial"/>
          <w:sz w:val="20"/>
          <w:szCs w:val="20"/>
        </w:rPr>
        <w:t>od uvedbe v delo</w:t>
      </w:r>
      <w:r w:rsidRPr="008F7486">
        <w:rPr>
          <w:rFonts w:ascii="Arial" w:eastAsia="Times New Roman" w:hAnsi="Arial" w:cs="Arial"/>
          <w:sz w:val="20"/>
          <w:szCs w:val="20"/>
        </w:rPr>
        <w:t>.</w:t>
      </w:r>
    </w:p>
    <w:p w14:paraId="66BD0C17" w14:textId="77777777" w:rsidR="008F7486" w:rsidRPr="008F7486" w:rsidRDefault="008F7486" w:rsidP="008F7486">
      <w:pPr>
        <w:spacing w:before="0" w:after="0" w:line="260" w:lineRule="atLeast"/>
        <w:rPr>
          <w:rFonts w:ascii="Arial" w:eastAsia="Times New Roman" w:hAnsi="Arial" w:cs="Arial"/>
          <w:sz w:val="20"/>
          <w:szCs w:val="20"/>
        </w:rPr>
      </w:pPr>
    </w:p>
    <w:p w14:paraId="7D85CF14"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OBSEG IN VSEBINA DEL</w:t>
      </w:r>
    </w:p>
    <w:p w14:paraId="116634B8" w14:textId="77777777" w:rsidR="008F7486" w:rsidRPr="008F7486" w:rsidRDefault="008F7486" w:rsidP="008F7486">
      <w:pPr>
        <w:spacing w:before="0" w:after="0" w:line="260" w:lineRule="atLeast"/>
        <w:rPr>
          <w:rFonts w:ascii="Arial" w:eastAsia="Times New Roman" w:hAnsi="Arial" w:cs="Arial"/>
          <w:b/>
          <w:sz w:val="20"/>
          <w:szCs w:val="20"/>
          <w:u w:val="single"/>
        </w:rPr>
      </w:pPr>
    </w:p>
    <w:p w14:paraId="19013377"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Obseg in vsebina del sta razvidna iz spodnje preglednice:</w:t>
      </w:r>
    </w:p>
    <w:p w14:paraId="5E200DAE" w14:textId="77777777" w:rsidR="008F7486" w:rsidRPr="008F7486" w:rsidRDefault="008F7486" w:rsidP="008F7486">
      <w:pPr>
        <w:spacing w:before="0" w:after="0" w:line="240" w:lineRule="auto"/>
        <w:jc w:val="left"/>
        <w:rPr>
          <w:rFonts w:ascii="Arial" w:eastAsia="Times New Roman" w:hAnsi="Arial" w:cs="Arial"/>
          <w:sz w:val="20"/>
          <w:szCs w:val="20"/>
        </w:rPr>
      </w:pPr>
      <w:r w:rsidRPr="008F7486">
        <w:rPr>
          <w:rFonts w:ascii="Arial" w:eastAsia="Times New Roman" w:hAnsi="Arial" w:cs="Arial"/>
          <w:sz w:val="20"/>
          <w:szCs w:val="20"/>
        </w:rPr>
        <w:br w:type="page"/>
      </w:r>
    </w:p>
    <w:p w14:paraId="0EB9C7EC" w14:textId="77777777" w:rsidR="008F7486" w:rsidRPr="008F7486" w:rsidRDefault="008F7486" w:rsidP="008F7486">
      <w:pPr>
        <w:spacing w:before="0" w:after="0" w:line="260" w:lineRule="atLeast"/>
        <w:rPr>
          <w:rFonts w:ascii="Arial" w:eastAsia="Times New Roman" w:hAnsi="Arial" w:cs="Arial"/>
          <w:sz w:val="20"/>
          <w:szCs w:val="20"/>
        </w:rPr>
      </w:pPr>
    </w:p>
    <w:tbl>
      <w:tblPr>
        <w:tblW w:w="4965" w:type="pct"/>
        <w:tblLayout w:type="fixed"/>
        <w:tblCellMar>
          <w:left w:w="70" w:type="dxa"/>
          <w:right w:w="70" w:type="dxa"/>
        </w:tblCellMar>
        <w:tblLook w:val="04A0" w:firstRow="1" w:lastRow="0" w:firstColumn="1" w:lastColumn="0" w:noHBand="0" w:noVBand="1"/>
      </w:tblPr>
      <w:tblGrid>
        <w:gridCol w:w="1465"/>
        <w:gridCol w:w="1256"/>
        <w:gridCol w:w="1673"/>
        <w:gridCol w:w="4603"/>
      </w:tblGrid>
      <w:tr w:rsidR="008F7486" w:rsidRPr="008F7486" w14:paraId="0BD05D1A" w14:textId="77777777" w:rsidTr="003014A9">
        <w:trPr>
          <w:trHeight w:val="722"/>
        </w:trPr>
        <w:tc>
          <w:tcPr>
            <w:tcW w:w="814" w:type="pct"/>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tcPr>
          <w:p w14:paraId="083757F1" w14:textId="77777777" w:rsidR="008F7486" w:rsidRPr="008F7486" w:rsidRDefault="008F7486" w:rsidP="008F7486">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Vrsta popisov, monitoringa</w:t>
            </w:r>
          </w:p>
        </w:tc>
        <w:tc>
          <w:tcPr>
            <w:tcW w:w="1628" w:type="pct"/>
            <w:gridSpan w:val="2"/>
            <w:tcBorders>
              <w:top w:val="single" w:sz="4" w:space="0" w:color="auto"/>
              <w:left w:val="nil"/>
              <w:bottom w:val="double" w:sz="4" w:space="0" w:color="auto"/>
              <w:right w:val="single" w:sz="4" w:space="0" w:color="auto"/>
            </w:tcBorders>
            <w:shd w:val="clear" w:color="auto" w:fill="D9D9D9" w:themeFill="background1" w:themeFillShade="D9"/>
            <w:vAlign w:val="center"/>
          </w:tcPr>
          <w:p w14:paraId="4E357CA9" w14:textId="77777777" w:rsidR="008F7486" w:rsidRPr="008F7486" w:rsidRDefault="008F7486" w:rsidP="008F7486">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Čas izvajanja del</w:t>
            </w:r>
          </w:p>
        </w:tc>
        <w:tc>
          <w:tcPr>
            <w:tcW w:w="2558" w:type="pct"/>
            <w:tcBorders>
              <w:top w:val="single" w:sz="4" w:space="0" w:color="auto"/>
              <w:left w:val="nil"/>
              <w:bottom w:val="double" w:sz="4" w:space="0" w:color="auto"/>
              <w:right w:val="single" w:sz="4" w:space="0" w:color="auto"/>
            </w:tcBorders>
            <w:shd w:val="clear" w:color="auto" w:fill="D9D9D9" w:themeFill="background1" w:themeFillShade="D9"/>
            <w:noWrap/>
            <w:vAlign w:val="center"/>
          </w:tcPr>
          <w:p w14:paraId="74FC3D80" w14:textId="77777777" w:rsidR="008F7486" w:rsidRPr="008F7486" w:rsidRDefault="008F7486" w:rsidP="008F7486">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Lokacija izvajanja del, opis in vsebina del</w:t>
            </w:r>
          </w:p>
        </w:tc>
      </w:tr>
      <w:tr w:rsidR="008F7486" w:rsidRPr="008F7486" w14:paraId="012E26DB" w14:textId="77777777" w:rsidTr="003014A9">
        <w:trPr>
          <w:cantSplit/>
          <w:trHeight w:val="1108"/>
        </w:trPr>
        <w:tc>
          <w:tcPr>
            <w:tcW w:w="814" w:type="pct"/>
            <w:vMerge w:val="restart"/>
            <w:tcBorders>
              <w:top w:val="double" w:sz="4" w:space="0" w:color="auto"/>
              <w:left w:val="single" w:sz="4" w:space="0" w:color="auto"/>
              <w:right w:val="dashSmallGap" w:sz="4" w:space="0" w:color="auto"/>
            </w:tcBorders>
            <w:shd w:val="clear" w:color="auto" w:fill="auto"/>
            <w:vAlign w:val="center"/>
            <w:hideMark/>
          </w:tcPr>
          <w:p w14:paraId="53905CD3"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t>HABITATNI TIPI</w:t>
            </w:r>
          </w:p>
        </w:tc>
        <w:tc>
          <w:tcPr>
            <w:tcW w:w="698" w:type="pct"/>
            <w:tcBorders>
              <w:top w:val="double" w:sz="4" w:space="0" w:color="auto"/>
              <w:left w:val="dashSmallGap" w:sz="4" w:space="0" w:color="auto"/>
              <w:bottom w:val="dashSmallGap" w:sz="4" w:space="0" w:color="auto"/>
              <w:right w:val="dashSmallGap" w:sz="4" w:space="0" w:color="auto"/>
            </w:tcBorders>
            <w:vAlign w:val="center"/>
          </w:tcPr>
          <w:p w14:paraId="6445F533"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double" w:sz="4" w:space="0" w:color="auto"/>
              <w:left w:val="dashSmallGap" w:sz="4" w:space="0" w:color="auto"/>
              <w:bottom w:val="dashSmallGap" w:sz="4" w:space="0" w:color="auto"/>
              <w:right w:val="dashSmallGap" w:sz="4" w:space="0" w:color="auto"/>
            </w:tcBorders>
            <w:shd w:val="clear" w:color="auto" w:fill="auto"/>
            <w:vAlign w:val="center"/>
            <w:hideMark/>
          </w:tcPr>
          <w:p w14:paraId="6ADC8A9A"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29BE376C"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double" w:sz="4" w:space="0" w:color="auto"/>
              <w:left w:val="dashSmallGap" w:sz="4" w:space="0" w:color="auto"/>
              <w:bottom w:val="dashSmallGap" w:sz="4" w:space="0" w:color="auto"/>
              <w:right w:val="single" w:sz="4" w:space="0" w:color="auto"/>
            </w:tcBorders>
            <w:shd w:val="clear" w:color="auto" w:fill="auto"/>
            <w:noWrap/>
            <w:vAlign w:val="center"/>
            <w:hideMark/>
          </w:tcPr>
          <w:p w14:paraId="0160FF48"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Popisi se izvajajo na celotnem območju gradbišč odprte trase in dostopnih cest, vključno s 50 m pasom v okolici večjih gradbišč (oziroma v pasu, ki ga strokovno predlaga izvajalec monitoringa) ter ob vodotokih (Glinščica, levi pritoki Osapske reke, Škofijski potok), </w:t>
            </w:r>
            <w:proofErr w:type="spellStart"/>
            <w:r w:rsidRPr="008F7486">
              <w:rPr>
                <w:rFonts w:ascii="Arial" w:eastAsia="Times New Roman" w:hAnsi="Arial" w:cs="Arial"/>
                <w:color w:val="000000"/>
                <w:sz w:val="20"/>
                <w:szCs w:val="20"/>
                <w:lang w:eastAsia="sl-SI"/>
              </w:rPr>
              <w:t>dolvodno</w:t>
            </w:r>
            <w:proofErr w:type="spellEnd"/>
            <w:r w:rsidRPr="008F7486">
              <w:rPr>
                <w:rFonts w:ascii="Arial" w:eastAsia="Times New Roman" w:hAnsi="Arial" w:cs="Arial"/>
                <w:color w:val="000000"/>
                <w:sz w:val="20"/>
                <w:szCs w:val="20"/>
                <w:lang w:eastAsia="sl-SI"/>
              </w:rPr>
              <w:t xml:space="preserve"> in </w:t>
            </w:r>
            <w:proofErr w:type="spellStart"/>
            <w:r w:rsidRPr="008F7486">
              <w:rPr>
                <w:rFonts w:ascii="Arial" w:eastAsia="Times New Roman" w:hAnsi="Arial" w:cs="Arial"/>
                <w:color w:val="000000"/>
                <w:sz w:val="20"/>
                <w:szCs w:val="20"/>
                <w:lang w:eastAsia="sl-SI"/>
              </w:rPr>
              <w:t>gorvodno</w:t>
            </w:r>
            <w:proofErr w:type="spellEnd"/>
            <w:r w:rsidRPr="008F7486">
              <w:rPr>
                <w:rFonts w:ascii="Arial" w:eastAsia="Times New Roman" w:hAnsi="Arial" w:cs="Arial"/>
                <w:color w:val="000000"/>
                <w:sz w:val="20"/>
                <w:szCs w:val="20"/>
                <w:lang w:eastAsia="sl-SI"/>
              </w:rPr>
              <w:t xml:space="preserve"> v dolžini 100 m.</w:t>
            </w:r>
          </w:p>
        </w:tc>
      </w:tr>
      <w:tr w:rsidR="008F7486" w:rsidRPr="008F7486" w14:paraId="513F23ED" w14:textId="77777777" w:rsidTr="003014A9">
        <w:trPr>
          <w:cantSplit/>
          <w:trHeight w:val="1305"/>
        </w:trPr>
        <w:tc>
          <w:tcPr>
            <w:tcW w:w="814" w:type="pct"/>
            <w:vMerge/>
            <w:tcBorders>
              <w:left w:val="single" w:sz="4" w:space="0" w:color="auto"/>
              <w:bottom w:val="single" w:sz="12" w:space="0" w:color="auto"/>
              <w:right w:val="dashSmallGap" w:sz="4" w:space="0" w:color="auto"/>
            </w:tcBorders>
            <w:shd w:val="clear" w:color="auto" w:fill="auto"/>
            <w:vAlign w:val="center"/>
          </w:tcPr>
          <w:p w14:paraId="62954DCA" w14:textId="77777777" w:rsidR="008F7486" w:rsidRPr="008F7486" w:rsidRDefault="008F7486" w:rsidP="008F7486">
            <w:pPr>
              <w:spacing w:before="0" w:after="0" w:line="240" w:lineRule="auto"/>
              <w:jc w:val="left"/>
              <w:rPr>
                <w:rFonts w:ascii="Arial" w:eastAsia="Times New Roman" w:hAnsi="Arial" w:cs="Arial"/>
                <w:color w:val="000000"/>
                <w:sz w:val="20"/>
                <w:szCs w:val="20"/>
                <w:lang w:eastAsia="sl-SI"/>
              </w:rPr>
            </w:pPr>
          </w:p>
        </w:tc>
        <w:tc>
          <w:tcPr>
            <w:tcW w:w="698" w:type="pct"/>
            <w:tcBorders>
              <w:top w:val="dashSmallGap" w:sz="4" w:space="0" w:color="auto"/>
              <w:left w:val="dashSmallGap" w:sz="4" w:space="0" w:color="auto"/>
              <w:bottom w:val="single" w:sz="12" w:space="0" w:color="auto"/>
              <w:right w:val="dashSmallGap" w:sz="4" w:space="0" w:color="auto"/>
            </w:tcBorders>
            <w:vAlign w:val="center"/>
          </w:tcPr>
          <w:p w14:paraId="14D6267F"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MONITORING</w:t>
            </w:r>
          </w:p>
        </w:tc>
        <w:tc>
          <w:tcPr>
            <w:tcW w:w="930" w:type="pct"/>
            <w:tcBorders>
              <w:top w:val="dashSmallGap" w:sz="4" w:space="0" w:color="auto"/>
              <w:left w:val="dashSmallGap" w:sz="4" w:space="0" w:color="auto"/>
              <w:bottom w:val="single" w:sz="12" w:space="0" w:color="auto"/>
              <w:right w:val="dashSmallGap" w:sz="4" w:space="0" w:color="auto"/>
            </w:tcBorders>
            <w:shd w:val="clear" w:color="auto" w:fill="auto"/>
            <w:vAlign w:val="center"/>
          </w:tcPr>
          <w:p w14:paraId="768F94C6"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Vizualno v povprečju 1x mesečno v času gradnje, ki bo trajala predvidoma 84 mesecev</w:t>
            </w:r>
          </w:p>
        </w:tc>
        <w:tc>
          <w:tcPr>
            <w:tcW w:w="2558" w:type="pct"/>
            <w:tcBorders>
              <w:top w:val="dashSmallGap" w:sz="4" w:space="0" w:color="auto"/>
              <w:left w:val="dashSmallGap" w:sz="4" w:space="0" w:color="auto"/>
              <w:bottom w:val="single" w:sz="12" w:space="0" w:color="auto"/>
              <w:right w:val="single" w:sz="4" w:space="0" w:color="auto"/>
            </w:tcBorders>
            <w:shd w:val="clear" w:color="auto" w:fill="auto"/>
            <w:noWrap/>
            <w:vAlign w:val="center"/>
          </w:tcPr>
          <w:p w14:paraId="7D4B6A6F"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Monitoring habitatnih tipov na zgoraj opredeljenem območju se izvaja vizualno v povprečju 1x mesečno. Ob vsakem ogledu se stanje </w:t>
            </w:r>
            <w:proofErr w:type="spellStart"/>
            <w:r w:rsidRPr="008F7486">
              <w:rPr>
                <w:rFonts w:ascii="Arial" w:eastAsia="Times New Roman" w:hAnsi="Arial" w:cs="Arial"/>
                <w:color w:val="000000"/>
                <w:sz w:val="20"/>
                <w:szCs w:val="20"/>
                <w:lang w:eastAsia="sl-SI"/>
              </w:rPr>
              <w:t>fotodokumentira</w:t>
            </w:r>
            <w:proofErr w:type="spellEnd"/>
            <w:r w:rsidRPr="008F7486">
              <w:rPr>
                <w:rFonts w:ascii="Arial" w:eastAsia="Times New Roman" w:hAnsi="Arial" w:cs="Arial"/>
                <w:color w:val="000000"/>
                <w:sz w:val="20"/>
                <w:szCs w:val="20"/>
                <w:lang w:eastAsia="sl-SI"/>
              </w:rPr>
              <w:t>. Monitoring se izvaja tudi ob vodotokih (Glinščica, levi pritoki Osapske reke, Škofijski potok).</w:t>
            </w:r>
          </w:p>
        </w:tc>
      </w:tr>
      <w:tr w:rsidR="008F7486" w:rsidRPr="008F7486" w14:paraId="12BCDCFE" w14:textId="77777777" w:rsidTr="003014A9">
        <w:trPr>
          <w:cantSplit/>
          <w:trHeight w:val="1245"/>
        </w:trPr>
        <w:tc>
          <w:tcPr>
            <w:tcW w:w="814" w:type="pct"/>
            <w:tcBorders>
              <w:top w:val="single" w:sz="12" w:space="0" w:color="auto"/>
              <w:left w:val="single" w:sz="4" w:space="0" w:color="auto"/>
              <w:right w:val="dashSmallGap" w:sz="4" w:space="0" w:color="auto"/>
            </w:tcBorders>
            <w:shd w:val="clear" w:color="auto" w:fill="auto"/>
            <w:vAlign w:val="center"/>
            <w:hideMark/>
          </w:tcPr>
          <w:p w14:paraId="7E5221D2"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t>PTICE (GNEZDILKE IN SOVA UHARICA)</w:t>
            </w:r>
          </w:p>
        </w:tc>
        <w:tc>
          <w:tcPr>
            <w:tcW w:w="698" w:type="pct"/>
            <w:tcBorders>
              <w:top w:val="single" w:sz="12" w:space="0" w:color="auto"/>
              <w:left w:val="dashSmallGap" w:sz="4" w:space="0" w:color="auto"/>
              <w:bottom w:val="single" w:sz="12" w:space="0" w:color="auto"/>
              <w:right w:val="dashSmallGap" w:sz="4" w:space="0" w:color="auto"/>
            </w:tcBorders>
            <w:vAlign w:val="center"/>
          </w:tcPr>
          <w:p w14:paraId="2FE8769E"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single" w:sz="12" w:space="0" w:color="auto"/>
              <w:left w:val="dashSmallGap" w:sz="4" w:space="0" w:color="auto"/>
              <w:bottom w:val="single" w:sz="12" w:space="0" w:color="auto"/>
              <w:right w:val="dashSmallGap" w:sz="4" w:space="0" w:color="auto"/>
            </w:tcBorders>
            <w:shd w:val="clear" w:color="auto" w:fill="auto"/>
            <w:vAlign w:val="center"/>
            <w:hideMark/>
          </w:tcPr>
          <w:p w14:paraId="041B52A9"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273EC6E8"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3x v času gradnje, </w:t>
            </w:r>
          </w:p>
          <w:p w14:paraId="2E617DE3"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single" w:sz="12" w:space="0" w:color="auto"/>
              <w:left w:val="dashSmallGap" w:sz="4" w:space="0" w:color="auto"/>
              <w:bottom w:val="single" w:sz="4" w:space="0" w:color="auto"/>
              <w:right w:val="single" w:sz="4" w:space="0" w:color="auto"/>
            </w:tcBorders>
            <w:shd w:val="clear" w:color="auto" w:fill="auto"/>
            <w:noWrap/>
            <w:vAlign w:val="center"/>
            <w:hideMark/>
          </w:tcPr>
          <w:p w14:paraId="6D272B81"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ptic gnezdilk in sove uharice se izvajajo na območju doline Glinščice in območju (ostenje) Črnega Kala, tekom celotne gnezditvene sezone. Velikost območja določi izvajalec monitoringa po svoji strokovni oceni.</w:t>
            </w:r>
          </w:p>
        </w:tc>
      </w:tr>
      <w:tr w:rsidR="008F7486" w:rsidRPr="008F7486" w14:paraId="41DAFCA8" w14:textId="77777777" w:rsidTr="003014A9">
        <w:trPr>
          <w:cantSplit/>
          <w:trHeight w:val="1215"/>
        </w:trPr>
        <w:tc>
          <w:tcPr>
            <w:tcW w:w="814" w:type="pct"/>
            <w:vMerge w:val="restart"/>
            <w:tcBorders>
              <w:top w:val="single" w:sz="12" w:space="0" w:color="auto"/>
              <w:left w:val="single" w:sz="4" w:space="0" w:color="auto"/>
              <w:right w:val="dashSmallGap" w:sz="4" w:space="0" w:color="auto"/>
            </w:tcBorders>
            <w:shd w:val="clear" w:color="auto" w:fill="auto"/>
            <w:vAlign w:val="center"/>
            <w:hideMark/>
          </w:tcPr>
          <w:p w14:paraId="7276A9C1"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t>NETOPIRJI</w:t>
            </w:r>
          </w:p>
        </w:tc>
        <w:tc>
          <w:tcPr>
            <w:tcW w:w="698" w:type="pct"/>
            <w:tcBorders>
              <w:top w:val="single" w:sz="12" w:space="0" w:color="auto"/>
              <w:left w:val="dashSmallGap" w:sz="4" w:space="0" w:color="auto"/>
              <w:bottom w:val="dashSmallGap" w:sz="4" w:space="0" w:color="auto"/>
              <w:right w:val="dashSmallGap" w:sz="4" w:space="0" w:color="auto"/>
            </w:tcBorders>
            <w:vAlign w:val="center"/>
          </w:tcPr>
          <w:p w14:paraId="4D5B34C4"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single" w:sz="12" w:space="0" w:color="auto"/>
              <w:left w:val="dashSmallGap" w:sz="4" w:space="0" w:color="auto"/>
              <w:bottom w:val="dashSmallGap" w:sz="4" w:space="0" w:color="auto"/>
              <w:right w:val="dashSmallGap" w:sz="4" w:space="0" w:color="auto"/>
            </w:tcBorders>
            <w:shd w:val="clear" w:color="auto" w:fill="auto"/>
            <w:vAlign w:val="center"/>
            <w:hideMark/>
          </w:tcPr>
          <w:p w14:paraId="3F043385"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1F3959DF"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v času gradnje,</w:t>
            </w:r>
          </w:p>
          <w:p w14:paraId="763990B5"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single" w:sz="12" w:space="0" w:color="auto"/>
              <w:left w:val="dashSmallGap" w:sz="4" w:space="0" w:color="auto"/>
              <w:bottom w:val="dashSmallGap" w:sz="4" w:space="0" w:color="auto"/>
              <w:right w:val="single" w:sz="4" w:space="0" w:color="auto"/>
            </w:tcBorders>
            <w:shd w:val="clear" w:color="auto" w:fill="auto"/>
            <w:noWrap/>
            <w:vAlign w:val="center"/>
            <w:hideMark/>
          </w:tcPr>
          <w:p w14:paraId="197161A6"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izvajajo na območju doline Glinščice. Popisi se izvajajo z ultrazvočno detekcijo.</w:t>
            </w:r>
          </w:p>
          <w:p w14:paraId="2DBBD461"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 prvem popisu in znani organizaciji gradbišč se določijo lokacije netopirnic.</w:t>
            </w:r>
          </w:p>
          <w:p w14:paraId="19CF5420"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Postavitev netopirnic ni predmet tega razpisa.</w:t>
            </w:r>
          </w:p>
        </w:tc>
      </w:tr>
      <w:tr w:rsidR="008F7486" w:rsidRPr="008F7486" w14:paraId="0EB68921" w14:textId="77777777" w:rsidTr="003014A9">
        <w:trPr>
          <w:cantSplit/>
          <w:trHeight w:val="1215"/>
        </w:trPr>
        <w:tc>
          <w:tcPr>
            <w:tcW w:w="814" w:type="pct"/>
            <w:vMerge/>
            <w:tcBorders>
              <w:top w:val="single" w:sz="12" w:space="0" w:color="auto"/>
              <w:left w:val="single" w:sz="4" w:space="0" w:color="auto"/>
              <w:bottom w:val="single" w:sz="4" w:space="0" w:color="auto"/>
              <w:right w:val="dashSmallGap" w:sz="4" w:space="0" w:color="auto"/>
            </w:tcBorders>
            <w:shd w:val="clear" w:color="auto" w:fill="auto"/>
            <w:vAlign w:val="center"/>
          </w:tcPr>
          <w:p w14:paraId="091B993E" w14:textId="77777777" w:rsidR="008F7486" w:rsidRPr="008F7486" w:rsidRDefault="008F7486" w:rsidP="008F7486">
            <w:pPr>
              <w:spacing w:before="0" w:after="0" w:line="240" w:lineRule="auto"/>
              <w:jc w:val="left"/>
              <w:rPr>
                <w:rFonts w:ascii="Arial" w:eastAsia="Times New Roman" w:hAnsi="Arial" w:cs="Arial"/>
                <w:color w:val="000000"/>
                <w:sz w:val="20"/>
                <w:szCs w:val="20"/>
                <w:lang w:eastAsia="sl-SI"/>
              </w:rPr>
            </w:pPr>
          </w:p>
        </w:tc>
        <w:tc>
          <w:tcPr>
            <w:tcW w:w="698" w:type="pct"/>
            <w:tcBorders>
              <w:top w:val="dashSmallGap" w:sz="4" w:space="0" w:color="auto"/>
              <w:left w:val="dashSmallGap" w:sz="4" w:space="0" w:color="auto"/>
              <w:bottom w:val="single" w:sz="4" w:space="0" w:color="auto"/>
              <w:right w:val="dashSmallGap" w:sz="4" w:space="0" w:color="auto"/>
            </w:tcBorders>
            <w:vAlign w:val="center"/>
          </w:tcPr>
          <w:p w14:paraId="02D29BB2"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MONITORING</w:t>
            </w:r>
          </w:p>
        </w:tc>
        <w:tc>
          <w:tcPr>
            <w:tcW w:w="930" w:type="pct"/>
            <w:tcBorders>
              <w:top w:val="dashSmallGap" w:sz="4" w:space="0" w:color="auto"/>
              <w:left w:val="dashSmallGap" w:sz="4" w:space="0" w:color="auto"/>
              <w:bottom w:val="single" w:sz="4" w:space="0" w:color="auto"/>
              <w:right w:val="dashSmallGap" w:sz="4" w:space="0" w:color="auto"/>
            </w:tcBorders>
            <w:shd w:val="clear" w:color="auto" w:fill="auto"/>
            <w:vAlign w:val="center"/>
          </w:tcPr>
          <w:p w14:paraId="64ABA9AB"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letno v času gradnje, ki bo trajala predvidoma 7 let</w:t>
            </w:r>
          </w:p>
        </w:tc>
        <w:tc>
          <w:tcPr>
            <w:tcW w:w="2558" w:type="pct"/>
            <w:tcBorders>
              <w:top w:val="dashSmallGap" w:sz="4" w:space="0" w:color="auto"/>
              <w:left w:val="dashSmallGap" w:sz="4" w:space="0" w:color="auto"/>
              <w:bottom w:val="single" w:sz="4" w:space="0" w:color="auto"/>
              <w:right w:val="single" w:sz="4" w:space="0" w:color="auto"/>
            </w:tcBorders>
            <w:shd w:val="clear" w:color="auto" w:fill="auto"/>
            <w:noWrap/>
            <w:vAlign w:val="center"/>
          </w:tcPr>
          <w:p w14:paraId="2898F332"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V sklopu monitoringa se enkrat letno spremlja učinkovitost postavljenih netopirnic.</w:t>
            </w:r>
          </w:p>
        </w:tc>
      </w:tr>
      <w:tr w:rsidR="008F7486" w:rsidRPr="008F7486" w14:paraId="759B49F0" w14:textId="77777777" w:rsidTr="003014A9">
        <w:trPr>
          <w:cantSplit/>
          <w:trHeight w:val="1290"/>
        </w:trPr>
        <w:tc>
          <w:tcPr>
            <w:tcW w:w="814" w:type="pct"/>
            <w:tcBorders>
              <w:top w:val="single" w:sz="12" w:space="0" w:color="auto"/>
              <w:left w:val="single" w:sz="4" w:space="0" w:color="auto"/>
              <w:right w:val="dashSmallGap" w:sz="4" w:space="0" w:color="auto"/>
            </w:tcBorders>
            <w:shd w:val="clear" w:color="auto" w:fill="auto"/>
            <w:vAlign w:val="center"/>
            <w:hideMark/>
          </w:tcPr>
          <w:p w14:paraId="0BB760CD"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lastRenderedPageBreak/>
              <w:t>RIBE, RAKI</w:t>
            </w:r>
          </w:p>
        </w:tc>
        <w:tc>
          <w:tcPr>
            <w:tcW w:w="698" w:type="pct"/>
            <w:tcBorders>
              <w:top w:val="single" w:sz="12" w:space="0" w:color="auto"/>
              <w:left w:val="dashSmallGap" w:sz="4" w:space="0" w:color="auto"/>
              <w:bottom w:val="single" w:sz="12" w:space="0" w:color="auto"/>
              <w:right w:val="dashSmallGap" w:sz="4" w:space="0" w:color="auto"/>
            </w:tcBorders>
            <w:vAlign w:val="center"/>
          </w:tcPr>
          <w:p w14:paraId="15095997"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 IZLOV</w:t>
            </w:r>
          </w:p>
        </w:tc>
        <w:tc>
          <w:tcPr>
            <w:tcW w:w="930" w:type="pct"/>
            <w:tcBorders>
              <w:top w:val="single" w:sz="12" w:space="0" w:color="auto"/>
              <w:left w:val="dashSmallGap" w:sz="4" w:space="0" w:color="auto"/>
              <w:bottom w:val="single" w:sz="12" w:space="0" w:color="auto"/>
              <w:right w:val="dashSmallGap" w:sz="4" w:space="0" w:color="auto"/>
            </w:tcBorders>
            <w:shd w:val="clear" w:color="auto" w:fill="auto"/>
            <w:vAlign w:val="center"/>
            <w:hideMark/>
          </w:tcPr>
          <w:p w14:paraId="22BEA36A"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068FDDC5"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2x v času gradnje, </w:t>
            </w:r>
          </w:p>
          <w:p w14:paraId="583B9440"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single" w:sz="12" w:space="0" w:color="auto"/>
              <w:left w:val="dashSmallGap" w:sz="4" w:space="0" w:color="auto"/>
              <w:bottom w:val="single" w:sz="12" w:space="0" w:color="auto"/>
              <w:right w:val="single" w:sz="4" w:space="0" w:color="auto"/>
            </w:tcBorders>
            <w:shd w:val="clear" w:color="auto" w:fill="auto"/>
            <w:noWrap/>
            <w:vAlign w:val="center"/>
            <w:hideMark/>
          </w:tcPr>
          <w:p w14:paraId="00B3323F"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Izlov in popise se izvede v vodotokih Glinščica in Osapska reka. Izlov in prenos se izvede </w:t>
            </w:r>
            <w:proofErr w:type="spellStart"/>
            <w:r w:rsidRPr="008F7486">
              <w:rPr>
                <w:rFonts w:ascii="Arial" w:eastAsia="Times New Roman" w:hAnsi="Arial" w:cs="Arial"/>
                <w:color w:val="000000"/>
                <w:sz w:val="20"/>
                <w:szCs w:val="20"/>
                <w:lang w:eastAsia="sl-SI"/>
              </w:rPr>
              <w:t>gorvodno</w:t>
            </w:r>
            <w:proofErr w:type="spellEnd"/>
            <w:r w:rsidRPr="008F7486">
              <w:rPr>
                <w:rFonts w:ascii="Arial" w:eastAsia="Times New Roman" w:hAnsi="Arial" w:cs="Arial"/>
                <w:color w:val="000000"/>
                <w:sz w:val="20"/>
                <w:szCs w:val="20"/>
                <w:lang w:eastAsia="sl-SI"/>
              </w:rPr>
              <w:t xml:space="preserve"> (oziroma v skladu z navodili ZRSVN). Izlov rakov se izvaja z vršami, izlov rib z elektriko.</w:t>
            </w:r>
          </w:p>
        </w:tc>
      </w:tr>
      <w:tr w:rsidR="008F7486" w:rsidRPr="008F7486" w14:paraId="31276522" w14:textId="77777777" w:rsidTr="003014A9">
        <w:trPr>
          <w:cantSplit/>
          <w:trHeight w:val="1350"/>
        </w:trPr>
        <w:tc>
          <w:tcPr>
            <w:tcW w:w="814" w:type="pct"/>
            <w:vMerge w:val="restart"/>
            <w:tcBorders>
              <w:top w:val="single" w:sz="12" w:space="0" w:color="auto"/>
              <w:left w:val="single" w:sz="4" w:space="0" w:color="auto"/>
              <w:right w:val="dashSmallGap" w:sz="4" w:space="0" w:color="auto"/>
            </w:tcBorders>
            <w:shd w:val="clear" w:color="auto" w:fill="auto"/>
            <w:vAlign w:val="center"/>
            <w:hideMark/>
          </w:tcPr>
          <w:p w14:paraId="61707F16"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t>VODNI ORGANIZMI</w:t>
            </w:r>
          </w:p>
        </w:tc>
        <w:tc>
          <w:tcPr>
            <w:tcW w:w="698" w:type="pct"/>
            <w:tcBorders>
              <w:top w:val="single" w:sz="12" w:space="0" w:color="auto"/>
              <w:left w:val="dashSmallGap" w:sz="4" w:space="0" w:color="auto"/>
              <w:bottom w:val="dashSmallGap" w:sz="4" w:space="0" w:color="auto"/>
              <w:right w:val="dashSmallGap" w:sz="4" w:space="0" w:color="auto"/>
            </w:tcBorders>
            <w:vAlign w:val="center"/>
          </w:tcPr>
          <w:p w14:paraId="33C860F6"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single" w:sz="12" w:space="0" w:color="auto"/>
              <w:left w:val="dashSmallGap" w:sz="4" w:space="0" w:color="auto"/>
              <w:bottom w:val="dashSmallGap" w:sz="4" w:space="0" w:color="auto"/>
              <w:right w:val="dashSmallGap" w:sz="4" w:space="0" w:color="auto"/>
            </w:tcBorders>
            <w:shd w:val="clear" w:color="auto" w:fill="auto"/>
            <w:vAlign w:val="center"/>
            <w:hideMark/>
          </w:tcPr>
          <w:p w14:paraId="293C7B69"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10572DE9"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v času gradnje,</w:t>
            </w:r>
          </w:p>
          <w:p w14:paraId="7B88F10C"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single" w:sz="12" w:space="0" w:color="auto"/>
              <w:left w:val="dashSmallGap" w:sz="4" w:space="0" w:color="auto"/>
              <w:bottom w:val="dashSmallGap" w:sz="4" w:space="0" w:color="auto"/>
              <w:right w:val="single" w:sz="4" w:space="0" w:color="auto"/>
            </w:tcBorders>
            <w:shd w:val="clear" w:color="auto" w:fill="auto"/>
            <w:noWrap/>
            <w:vAlign w:val="center"/>
            <w:hideMark/>
          </w:tcPr>
          <w:p w14:paraId="4F945C69"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izvajajo v:</w:t>
            </w:r>
          </w:p>
          <w:p w14:paraId="09A9F626"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 Glinščici (merilno mesto </w:t>
            </w:r>
            <w:proofErr w:type="spellStart"/>
            <w:r w:rsidRPr="008F7486">
              <w:rPr>
                <w:rFonts w:ascii="Arial" w:eastAsia="Times New Roman" w:hAnsi="Arial" w:cs="Arial"/>
                <w:color w:val="000000"/>
                <w:sz w:val="20"/>
                <w:szCs w:val="20"/>
                <w:lang w:eastAsia="sl-SI"/>
              </w:rPr>
              <w:t>dolvodno</w:t>
            </w:r>
            <w:proofErr w:type="spellEnd"/>
            <w:r w:rsidRPr="008F7486">
              <w:rPr>
                <w:rFonts w:ascii="Arial" w:eastAsia="Times New Roman" w:hAnsi="Arial" w:cs="Arial"/>
                <w:color w:val="000000"/>
                <w:sz w:val="20"/>
                <w:szCs w:val="20"/>
                <w:lang w:eastAsia="sl-SI"/>
              </w:rPr>
              <w:t xml:space="preserve"> od posega, približno 1 km pred državno mejo),</w:t>
            </w:r>
          </w:p>
          <w:p w14:paraId="5854C6A7"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xml:space="preserve">-Osapski reki (merilno mesto </w:t>
            </w:r>
            <w:proofErr w:type="spellStart"/>
            <w:r w:rsidRPr="008F7486">
              <w:rPr>
                <w:rFonts w:ascii="Arial" w:eastAsia="Times New Roman" w:hAnsi="Arial" w:cs="Arial"/>
                <w:color w:val="000000"/>
                <w:sz w:val="20"/>
                <w:szCs w:val="20"/>
                <w:lang w:eastAsia="sl-SI"/>
              </w:rPr>
              <w:t>dolvodno</w:t>
            </w:r>
            <w:proofErr w:type="spellEnd"/>
            <w:r w:rsidRPr="008F7486">
              <w:rPr>
                <w:rFonts w:ascii="Arial" w:eastAsia="Times New Roman" w:hAnsi="Arial" w:cs="Arial"/>
                <w:color w:val="000000"/>
                <w:sz w:val="20"/>
                <w:szCs w:val="20"/>
                <w:lang w:eastAsia="sl-SI"/>
              </w:rPr>
              <w:t xml:space="preserve"> od posega, približno 100m pred državno mejo),</w:t>
            </w:r>
          </w:p>
          <w:p w14:paraId="4755CD02"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-Škofijskem potoku.</w:t>
            </w:r>
          </w:p>
          <w:p w14:paraId="41A6A57C"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izvedejo po metodologiji za ocenjevanje ekološkega stanja voda (</w:t>
            </w:r>
            <w:proofErr w:type="spellStart"/>
            <w:r w:rsidRPr="008F7486">
              <w:rPr>
                <w:rFonts w:ascii="Arial" w:eastAsia="Times New Roman" w:hAnsi="Arial" w:cs="Arial"/>
                <w:color w:val="000000"/>
                <w:sz w:val="20"/>
                <w:szCs w:val="20"/>
                <w:lang w:eastAsia="sl-SI"/>
              </w:rPr>
              <w:t>fitobentos</w:t>
            </w:r>
            <w:proofErr w:type="spellEnd"/>
            <w:r w:rsidRPr="008F7486">
              <w:rPr>
                <w:rFonts w:ascii="Arial" w:eastAsia="Times New Roman" w:hAnsi="Arial" w:cs="Arial"/>
                <w:color w:val="000000"/>
                <w:sz w:val="20"/>
                <w:szCs w:val="20"/>
                <w:lang w:eastAsia="sl-SI"/>
              </w:rPr>
              <w:t xml:space="preserve">, </w:t>
            </w:r>
            <w:proofErr w:type="spellStart"/>
            <w:r w:rsidRPr="008F7486">
              <w:rPr>
                <w:rFonts w:ascii="Arial" w:eastAsia="Times New Roman" w:hAnsi="Arial" w:cs="Arial"/>
                <w:color w:val="000000"/>
                <w:sz w:val="20"/>
                <w:szCs w:val="20"/>
                <w:lang w:eastAsia="sl-SI"/>
              </w:rPr>
              <w:t>bentoški</w:t>
            </w:r>
            <w:proofErr w:type="spellEnd"/>
            <w:r w:rsidRPr="008F7486">
              <w:rPr>
                <w:rFonts w:ascii="Arial" w:eastAsia="Times New Roman" w:hAnsi="Arial" w:cs="Arial"/>
                <w:color w:val="000000"/>
                <w:sz w:val="20"/>
                <w:szCs w:val="20"/>
                <w:lang w:eastAsia="sl-SI"/>
              </w:rPr>
              <w:t xml:space="preserve"> nevretenčarji).</w:t>
            </w:r>
          </w:p>
        </w:tc>
      </w:tr>
      <w:tr w:rsidR="008F7486" w:rsidRPr="008F7486" w14:paraId="647AB99B" w14:textId="77777777" w:rsidTr="003014A9">
        <w:trPr>
          <w:cantSplit/>
          <w:trHeight w:val="1350"/>
        </w:trPr>
        <w:tc>
          <w:tcPr>
            <w:tcW w:w="814" w:type="pct"/>
            <w:vMerge/>
            <w:tcBorders>
              <w:left w:val="single" w:sz="4" w:space="0" w:color="auto"/>
              <w:bottom w:val="single" w:sz="4" w:space="0" w:color="auto"/>
              <w:right w:val="dashSmallGap" w:sz="4" w:space="0" w:color="auto"/>
            </w:tcBorders>
            <w:shd w:val="clear" w:color="auto" w:fill="auto"/>
            <w:vAlign w:val="center"/>
          </w:tcPr>
          <w:p w14:paraId="4F5F9015" w14:textId="77777777" w:rsidR="008F7486" w:rsidRPr="008F7486" w:rsidRDefault="008F7486" w:rsidP="008F7486">
            <w:pPr>
              <w:spacing w:before="0" w:after="0" w:line="240" w:lineRule="auto"/>
              <w:jc w:val="left"/>
              <w:rPr>
                <w:rFonts w:ascii="Arial" w:eastAsia="Times New Roman" w:hAnsi="Arial" w:cs="Arial"/>
                <w:color w:val="000000"/>
                <w:sz w:val="18"/>
                <w:szCs w:val="18"/>
                <w:lang w:eastAsia="sl-SI"/>
              </w:rPr>
            </w:pPr>
          </w:p>
        </w:tc>
        <w:tc>
          <w:tcPr>
            <w:tcW w:w="698" w:type="pct"/>
            <w:tcBorders>
              <w:top w:val="dashSmallGap" w:sz="4" w:space="0" w:color="auto"/>
              <w:left w:val="dashSmallGap" w:sz="4" w:space="0" w:color="auto"/>
              <w:bottom w:val="single" w:sz="4" w:space="0" w:color="auto"/>
              <w:right w:val="dashSmallGap" w:sz="4" w:space="0" w:color="auto"/>
            </w:tcBorders>
            <w:vAlign w:val="center"/>
          </w:tcPr>
          <w:p w14:paraId="20276174"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MONITORING</w:t>
            </w:r>
          </w:p>
        </w:tc>
        <w:tc>
          <w:tcPr>
            <w:tcW w:w="930" w:type="pct"/>
            <w:tcBorders>
              <w:top w:val="dashSmallGap" w:sz="4" w:space="0" w:color="auto"/>
              <w:left w:val="dashSmallGap" w:sz="4" w:space="0" w:color="auto"/>
              <w:bottom w:val="single" w:sz="4" w:space="0" w:color="auto"/>
              <w:right w:val="dashSmallGap" w:sz="4" w:space="0" w:color="auto"/>
            </w:tcBorders>
            <w:shd w:val="clear" w:color="auto" w:fill="auto"/>
            <w:vAlign w:val="center"/>
          </w:tcPr>
          <w:p w14:paraId="21D2613B"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Vizualno 1x mesečno v času gradnje, ki bo trajala predvidoma 84 mesecev</w:t>
            </w:r>
          </w:p>
        </w:tc>
        <w:tc>
          <w:tcPr>
            <w:tcW w:w="2558" w:type="pct"/>
            <w:tcBorders>
              <w:top w:val="dashSmallGap" w:sz="4" w:space="0" w:color="auto"/>
              <w:left w:val="dashSmallGap" w:sz="4" w:space="0" w:color="auto"/>
              <w:bottom w:val="single" w:sz="4" w:space="0" w:color="auto"/>
              <w:right w:val="single" w:sz="4" w:space="0" w:color="auto"/>
            </w:tcBorders>
            <w:shd w:val="clear" w:color="auto" w:fill="auto"/>
            <w:noWrap/>
            <w:vAlign w:val="center"/>
          </w:tcPr>
          <w:p w14:paraId="1EE8CFDB"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Monitoring med gradnjo se izvaja vizualno v povprečju enkrat mesečno v času gradnje, na vodotokih Glinščica, Osapska reka in Škofijskem potoku.</w:t>
            </w:r>
          </w:p>
        </w:tc>
      </w:tr>
    </w:tbl>
    <w:p w14:paraId="532F603A" w14:textId="77777777" w:rsidR="008F7486" w:rsidRPr="008F7486" w:rsidRDefault="008F7486" w:rsidP="008F7486">
      <w:pPr>
        <w:spacing w:before="0" w:after="0" w:line="260" w:lineRule="atLeast"/>
        <w:rPr>
          <w:rFonts w:ascii="Arial" w:eastAsia="Times New Roman" w:hAnsi="Arial" w:cs="Arial"/>
          <w:sz w:val="20"/>
          <w:szCs w:val="20"/>
        </w:rPr>
      </w:pPr>
    </w:p>
    <w:p w14:paraId="5B8B60A5"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monitoringa pogostost izvajanja monitoringa prilagodi terminskemu planu izvajanja gradnje in življenjskemu ciklu spremljane vrste oz. skupine.</w:t>
      </w:r>
    </w:p>
    <w:p w14:paraId="0D07700A" w14:textId="77777777" w:rsidR="008F7486" w:rsidRPr="008F7486" w:rsidRDefault="008F7486" w:rsidP="008F7486">
      <w:pPr>
        <w:spacing w:before="0" w:after="0" w:line="260" w:lineRule="atLeast"/>
        <w:rPr>
          <w:rFonts w:ascii="Arial" w:eastAsia="Times New Roman" w:hAnsi="Arial" w:cs="Arial"/>
          <w:sz w:val="20"/>
          <w:szCs w:val="20"/>
        </w:rPr>
      </w:pPr>
    </w:p>
    <w:p w14:paraId="7161D7CB"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monitoringa v sklopu naloge v primeru ugotovljenih prekomernih vplivov predpiše tudi omilitvene ukrepe, ki jih je potrebno izvajati in ki jih potrdi ZRSVN.</w:t>
      </w:r>
    </w:p>
    <w:p w14:paraId="51A06E5F" w14:textId="77777777" w:rsidR="008F7486" w:rsidRPr="008F7486" w:rsidRDefault="008F7486" w:rsidP="008F7486">
      <w:pPr>
        <w:spacing w:before="0" w:after="0" w:line="260" w:lineRule="atLeast"/>
        <w:rPr>
          <w:rFonts w:ascii="Arial" w:eastAsia="Times New Roman" w:hAnsi="Arial" w:cs="Arial"/>
          <w:sz w:val="20"/>
          <w:szCs w:val="20"/>
        </w:rPr>
      </w:pPr>
    </w:p>
    <w:p w14:paraId="12B71472"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OSTALE OBVEZNOSTI IZVAJALCA</w:t>
      </w:r>
    </w:p>
    <w:p w14:paraId="14981C67" w14:textId="77777777" w:rsidR="008F7486" w:rsidRPr="008F7486" w:rsidRDefault="008F7486" w:rsidP="008F7486">
      <w:pPr>
        <w:spacing w:before="0" w:after="0" w:line="260" w:lineRule="atLeast"/>
        <w:rPr>
          <w:rFonts w:ascii="Arial" w:eastAsia="Times New Roman" w:hAnsi="Arial" w:cs="Arial"/>
          <w:sz w:val="20"/>
          <w:szCs w:val="20"/>
        </w:rPr>
      </w:pPr>
    </w:p>
    <w:p w14:paraId="2A865DBB"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ima poleg vseh zgoraj navedenih nalog še sledeče obveznosti:</w:t>
      </w:r>
    </w:p>
    <w:p w14:paraId="7FC69F41" w14:textId="15E2E88A"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bookmarkStart w:id="1" w:name="_Hlk536714523"/>
      <w:r w:rsidRPr="008F7486">
        <w:rPr>
          <w:rFonts w:ascii="Arial" w:eastAsia="Calibri" w:hAnsi="Arial" w:cs="Arial"/>
          <w:sz w:val="20"/>
          <w:szCs w:val="20"/>
        </w:rPr>
        <w:t xml:space="preserve">Navesti mora </w:t>
      </w:r>
      <w:r w:rsidR="0071228F">
        <w:rPr>
          <w:rFonts w:ascii="Arial" w:eastAsia="Calibri" w:hAnsi="Arial" w:cs="Arial"/>
          <w:sz w:val="20"/>
          <w:szCs w:val="20"/>
        </w:rPr>
        <w:t xml:space="preserve">osebo, ki bo opravljala naloge </w:t>
      </w:r>
      <w:r w:rsidRPr="008F7486">
        <w:rPr>
          <w:rFonts w:ascii="Arial" w:eastAsia="Calibri" w:hAnsi="Arial" w:cs="Arial"/>
          <w:b/>
          <w:sz w:val="20"/>
          <w:szCs w:val="20"/>
        </w:rPr>
        <w:t>vodj</w:t>
      </w:r>
      <w:r w:rsidR="0071228F">
        <w:rPr>
          <w:rFonts w:ascii="Arial" w:eastAsia="Calibri" w:hAnsi="Arial" w:cs="Arial"/>
          <w:b/>
          <w:sz w:val="20"/>
          <w:szCs w:val="20"/>
        </w:rPr>
        <w:t>e</w:t>
      </w:r>
      <w:r w:rsidRPr="008F7486">
        <w:rPr>
          <w:rFonts w:ascii="Arial" w:eastAsia="Calibri" w:hAnsi="Arial" w:cs="Arial"/>
          <w:b/>
          <w:sz w:val="20"/>
          <w:szCs w:val="20"/>
        </w:rPr>
        <w:t xml:space="preserve"> in koordinatorja celotne naloge</w:t>
      </w:r>
      <w:r w:rsidRPr="008F7486">
        <w:rPr>
          <w:rFonts w:ascii="Arial" w:eastAsia="Calibri" w:hAnsi="Arial" w:cs="Arial"/>
          <w:sz w:val="20"/>
          <w:szCs w:val="20"/>
        </w:rPr>
        <w:t>, ki se udeležuje koordinacij z naročnikom in drugimi izvajalci oziroma pristojnimi službami. Vodja naloge se mora udeleževati rednih koordinacijskih sestankov (1x mesečno), kjer poroča tudi o stanju izvajanja naloge. V posebnih primerih na poziv naročnika so koordinacije lahko tudi pogosteje (do 1x tedensko).</w:t>
      </w:r>
    </w:p>
    <w:p w14:paraId="01D87608"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Sodelovati na sestankih z naročnikom in njegovim inženirjem, z ministrstvi in drugimi organizacijami.</w:t>
      </w:r>
    </w:p>
    <w:p w14:paraId="6834B64B"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Dela izvršiti v skladu z opisom naročila in pogodbo in zahtevah naročnika, strokovno pravilno po vseh sodobnih izsledkih znanosti in stroke, vestno in kvalitetno, v skladu z vsemi veljavnimi predpisi in standardi.</w:t>
      </w:r>
    </w:p>
    <w:p w14:paraId="49424D97"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Pregledati vso razpoložljivo projektno dokumentacijo, ki je potrebna za izvedbo naloge, se seznaniti s terenom na katerem bo izvajal dela.</w:t>
      </w:r>
    </w:p>
    <w:p w14:paraId="0FA76B61"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lastRenderedPageBreak/>
        <w:t>Izvajalec monitoringa (popisov) bo ob uvedbi v delo seznanjen s terminskim planom izvajanja del, ter podrobnejšim obsegom glede na razpisana dela in z napredovanjem gradnje. Izvajalec monitoringa takoj po uvedbi v delo prične s popisom vrst/skupin ter v roku 14 dni po uvedbi v delo predloži predlog terminskega plana izvajanja popisov in monitoringa, ga uskladi z Naročnikom oz. njegovim Inženirjem, ter izvajalci gradbenih in drugih del in ga nadalje vsake tri mesece (oz. po potrebi) ažurira, glede na dejanski napredek gradnje. Pri tem mora upoštevati, da je pri izvedbi gradnje možna fazna gradnja in da je skladno s tem potrebno terminske plane prilagoditi, oz. za posamezne sklope na gradbišču pripraviti različne terminske plane.</w:t>
      </w:r>
    </w:p>
    <w:p w14:paraId="24CF33B1" w14:textId="77777777" w:rsidR="008F7486" w:rsidRPr="008F7486" w:rsidRDefault="008F7486" w:rsidP="008F7486">
      <w:pPr>
        <w:widowControl w:val="0"/>
        <w:spacing w:before="0" w:after="0" w:line="300" w:lineRule="atLeast"/>
        <w:ind w:left="425"/>
        <w:contextualSpacing/>
        <w:rPr>
          <w:rFonts w:ascii="Arial" w:eastAsia="Calibri" w:hAnsi="Arial" w:cs="Arial"/>
          <w:sz w:val="20"/>
          <w:szCs w:val="20"/>
        </w:rPr>
      </w:pPr>
      <w:r w:rsidRPr="008F7486">
        <w:rPr>
          <w:rFonts w:ascii="Arial" w:eastAsia="Calibri" w:hAnsi="Arial" w:cs="Arial"/>
          <w:sz w:val="20"/>
          <w:szCs w:val="20"/>
        </w:rPr>
        <w:t>Ker so popisi določenih vrst vezani na različne sezone (od februarja do julija), se v primeru pričetka gradnje in ne možnosti izvedbe popisa pred gradnjo uporabi zadnje razpoložljive podatke, katere si izvajalec priskrbi sam pri pristojni organizaciji (ZRSVN). Popisi se opravijo v prvem možnem terminu.</w:t>
      </w:r>
    </w:p>
    <w:p w14:paraId="3BFEE3C5"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Pravočasno opozoriti naročnika in njegovega inženirja na morebitne manjkajoče podatke, odstopanja od naravovarstvenih zahtev.</w:t>
      </w:r>
    </w:p>
    <w:bookmarkEnd w:id="1"/>
    <w:p w14:paraId="3C74C792" w14:textId="77777777" w:rsidR="008F7486" w:rsidRPr="008F7486" w:rsidRDefault="008F7486" w:rsidP="008F7486">
      <w:pPr>
        <w:spacing w:before="0" w:after="0" w:line="260" w:lineRule="atLeast"/>
        <w:rPr>
          <w:rFonts w:ascii="Arial" w:eastAsia="Times New Roman" w:hAnsi="Arial" w:cs="Arial"/>
          <w:sz w:val="20"/>
          <w:szCs w:val="20"/>
          <w:lang w:val="en-US"/>
        </w:rPr>
      </w:pPr>
    </w:p>
    <w:p w14:paraId="6718FF0F"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ROKI IZDELAVE NALOGE IN ŠTEVILO IZVODOV</w:t>
      </w:r>
    </w:p>
    <w:p w14:paraId="44FDC62E" w14:textId="77777777" w:rsidR="008F7486" w:rsidRPr="008F7486" w:rsidRDefault="008F7486" w:rsidP="008F7486">
      <w:pPr>
        <w:spacing w:before="0" w:after="0" w:line="260" w:lineRule="atLeast"/>
        <w:rPr>
          <w:rFonts w:ascii="Arial" w:hAnsi="Arial" w:cs="Arial"/>
          <w:sz w:val="20"/>
          <w:szCs w:val="20"/>
        </w:rPr>
      </w:pPr>
    </w:p>
    <w:p w14:paraId="56A8A37C"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Rok za izvedbo celotne naloge je 84 mesecev od uvedbe v delo oz. do zaključka gradnje drugega tira železniške proge Divača-Koper.</w:t>
      </w:r>
    </w:p>
    <w:p w14:paraId="1E949E8C" w14:textId="77777777" w:rsidR="008F7486" w:rsidRPr="008F7486" w:rsidRDefault="008F7486" w:rsidP="008F7486">
      <w:pPr>
        <w:spacing w:before="0" w:after="0" w:line="260" w:lineRule="atLeast"/>
        <w:rPr>
          <w:rFonts w:ascii="Arial" w:eastAsia="Times New Roman" w:hAnsi="Arial" w:cs="Arial"/>
          <w:sz w:val="20"/>
          <w:szCs w:val="20"/>
        </w:rPr>
      </w:pPr>
    </w:p>
    <w:p w14:paraId="469313CF" w14:textId="77777777" w:rsidR="008F7486" w:rsidRPr="008F7486" w:rsidRDefault="008F7486" w:rsidP="008F7486">
      <w:pPr>
        <w:spacing w:before="0" w:after="0" w:line="260" w:lineRule="atLeast"/>
        <w:rPr>
          <w:rFonts w:ascii="Arial" w:hAnsi="Arial" w:cs="Arial"/>
          <w:sz w:val="20"/>
          <w:szCs w:val="20"/>
          <w:u w:val="single"/>
        </w:rPr>
      </w:pPr>
      <w:r w:rsidRPr="008F7486">
        <w:rPr>
          <w:rFonts w:ascii="Arial" w:hAnsi="Arial" w:cs="Arial"/>
          <w:sz w:val="20"/>
          <w:szCs w:val="20"/>
          <w:u w:val="single"/>
        </w:rPr>
        <w:t>Poročila se oddajajo v naslednjih rokih:</w:t>
      </w:r>
    </w:p>
    <w:p w14:paraId="136BD9D3"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poročila o popisih - 10 dni po izvedenem popisu po posameznem sklopu,</w:t>
      </w:r>
    </w:p>
    <w:p w14:paraId="2B901D2A"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krajša mesečna poročila, kot priloga k izdanim mesečnim računom, v katerih poda opis opravljenega dela in navede morebitne posebne ugotovitve,</w:t>
      </w:r>
    </w:p>
    <w:p w14:paraId="52BB9FDC"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podrobnejša letna poročila – do konca januarja za preteklo leto,</w:t>
      </w:r>
    </w:p>
    <w:p w14:paraId="02F09F54"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 xml:space="preserve">končno poročilo po zaključeni gradnji – 30 dni po zaključku monitoringa oz. zaključenih popisih. </w:t>
      </w:r>
    </w:p>
    <w:p w14:paraId="641D1C46"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Izvajalec je dolžan oddajati poročila v pregled naročniku ter po njegovih zahtevah le tega dopolniti oziroma popraviti. Rok za popravke po pripombah naročnika je 7 dni od prejema pripomb.</w:t>
      </w:r>
    </w:p>
    <w:p w14:paraId="4BD2A391" w14:textId="77777777" w:rsidR="008F7486" w:rsidRPr="008F7486" w:rsidRDefault="008F7486" w:rsidP="008F7486">
      <w:pPr>
        <w:spacing w:before="0" w:after="0" w:line="260" w:lineRule="atLeast"/>
        <w:rPr>
          <w:rFonts w:ascii="Arial" w:eastAsia="Times New Roman" w:hAnsi="Arial" w:cs="Arial"/>
          <w:sz w:val="20"/>
          <w:szCs w:val="20"/>
          <w:u w:val="single"/>
        </w:rPr>
      </w:pPr>
    </w:p>
    <w:p w14:paraId="6AD9BF00" w14:textId="77777777" w:rsidR="008F7486" w:rsidRPr="008F7486" w:rsidRDefault="008F7486" w:rsidP="008F7486">
      <w:pPr>
        <w:spacing w:before="0" w:after="0" w:line="260" w:lineRule="atLeast"/>
        <w:rPr>
          <w:rFonts w:ascii="Arial" w:eastAsia="Times New Roman" w:hAnsi="Arial" w:cs="Arial"/>
          <w:sz w:val="20"/>
          <w:szCs w:val="20"/>
          <w:u w:val="single"/>
        </w:rPr>
      </w:pPr>
      <w:r w:rsidRPr="008F7486">
        <w:rPr>
          <w:rFonts w:ascii="Arial" w:eastAsia="Times New Roman" w:hAnsi="Arial" w:cs="Arial"/>
          <w:sz w:val="20"/>
          <w:szCs w:val="20"/>
          <w:u w:val="single"/>
        </w:rPr>
        <w:t>Število izvodov posameznih poročil</w:t>
      </w:r>
    </w:p>
    <w:p w14:paraId="3E814E39" w14:textId="77777777" w:rsidR="008F7486" w:rsidRPr="008F7486" w:rsidRDefault="008F7486" w:rsidP="008F7486">
      <w:pPr>
        <w:widowControl w:val="0"/>
        <w:numPr>
          <w:ilvl w:val="0"/>
          <w:numId w:val="21"/>
        </w:numPr>
        <w:spacing w:before="0" w:after="0" w:line="300" w:lineRule="atLeast"/>
        <w:ind w:left="425" w:hanging="357"/>
        <w:contextualSpacing/>
        <w:jc w:val="left"/>
        <w:rPr>
          <w:rFonts w:ascii="Arial" w:hAnsi="Arial" w:cs="Arial"/>
          <w:sz w:val="20"/>
          <w:szCs w:val="20"/>
        </w:rPr>
      </w:pPr>
      <w:r w:rsidRPr="008F7486">
        <w:rPr>
          <w:rFonts w:ascii="Arial" w:hAnsi="Arial" w:cs="Arial"/>
          <w:sz w:val="20"/>
          <w:szCs w:val="20"/>
        </w:rPr>
        <w:t>Poročila o popisih, mesečna ter letna poročila se oddajo v dveh tiskanih in dveh digitalnih izvodih.</w:t>
      </w:r>
    </w:p>
    <w:p w14:paraId="01A2B7DA" w14:textId="77777777" w:rsidR="008F7486" w:rsidRPr="008F7486" w:rsidRDefault="008F7486" w:rsidP="008F7486">
      <w:pPr>
        <w:widowControl w:val="0"/>
        <w:numPr>
          <w:ilvl w:val="0"/>
          <w:numId w:val="21"/>
        </w:numPr>
        <w:spacing w:before="0" w:after="0" w:line="300" w:lineRule="atLeast"/>
        <w:ind w:left="425" w:hanging="357"/>
        <w:contextualSpacing/>
        <w:jc w:val="left"/>
        <w:rPr>
          <w:rFonts w:ascii="Arial" w:hAnsi="Arial" w:cs="Arial"/>
          <w:sz w:val="20"/>
          <w:szCs w:val="20"/>
        </w:rPr>
      </w:pPr>
      <w:r w:rsidRPr="008F7486">
        <w:rPr>
          <w:rFonts w:ascii="Arial" w:hAnsi="Arial" w:cs="Arial"/>
          <w:sz w:val="20"/>
          <w:szCs w:val="20"/>
        </w:rPr>
        <w:t>Končno skupno poročilo se odda v petih tiskanih in petih digitalnih izvodih.</w:t>
      </w:r>
    </w:p>
    <w:p w14:paraId="5A73E330" w14:textId="77777777" w:rsidR="008F7486" w:rsidRPr="008F7486" w:rsidRDefault="008F7486" w:rsidP="008F7486">
      <w:pPr>
        <w:spacing w:before="0" w:after="0" w:line="260" w:lineRule="atLeast"/>
        <w:rPr>
          <w:rFonts w:ascii="Arial" w:hAnsi="Arial" w:cs="Arial"/>
          <w:sz w:val="20"/>
          <w:szCs w:val="20"/>
        </w:rPr>
      </w:pPr>
    </w:p>
    <w:p w14:paraId="2ADF7CBC"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Vsi digitalni izvodi se oddajo v aktivni in pasivni obliki. Digitalni izvodi v pasivni obliki morajo biti enaki tiskanim (žigi, podpisi).</w:t>
      </w:r>
    </w:p>
    <w:p w14:paraId="5AC1047F" w14:textId="77777777" w:rsidR="008F7486" w:rsidRPr="008F7486" w:rsidRDefault="008F7486" w:rsidP="008F7486">
      <w:pPr>
        <w:spacing w:before="0" w:after="0" w:line="260" w:lineRule="atLeast"/>
        <w:rPr>
          <w:rFonts w:ascii="Arial" w:hAnsi="Arial" w:cs="Arial"/>
          <w:sz w:val="20"/>
          <w:szCs w:val="20"/>
        </w:rPr>
      </w:pPr>
    </w:p>
    <w:p w14:paraId="39D671ED"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72DD5940"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30B5E962"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4DC71544" w14:textId="77777777" w:rsidR="008F7486" w:rsidRPr="008F7486" w:rsidRDefault="008F7486" w:rsidP="008F7486">
      <w:pPr>
        <w:spacing w:before="0" w:after="0" w:line="260" w:lineRule="atLeast"/>
        <w:jc w:val="left"/>
        <w:rPr>
          <w:rFonts w:ascii="Arial" w:eastAsia="Times New Roman" w:hAnsi="Arial" w:cs="Arial"/>
          <w:sz w:val="20"/>
          <w:szCs w:val="20"/>
        </w:rPr>
      </w:pPr>
    </w:p>
    <w:p w14:paraId="6987A22D" w14:textId="77777777" w:rsidR="008F7486" w:rsidRPr="008F7486" w:rsidRDefault="008F7486" w:rsidP="008F7486">
      <w:pPr>
        <w:spacing w:before="0" w:after="0" w:line="260" w:lineRule="atLeast"/>
        <w:jc w:val="left"/>
        <w:rPr>
          <w:rFonts w:ascii="Arial" w:eastAsia="Times New Roman" w:hAnsi="Arial" w:cs="Arial"/>
          <w:sz w:val="20"/>
          <w:szCs w:val="20"/>
        </w:rPr>
      </w:pPr>
    </w:p>
    <w:p w14:paraId="539C9669" w14:textId="1F406AA4" w:rsidR="002B3730" w:rsidRDefault="002B3730" w:rsidP="00132C80">
      <w:pPr>
        <w:autoSpaceDE w:val="0"/>
        <w:autoSpaceDN w:val="0"/>
        <w:adjustRightInd w:val="0"/>
        <w:spacing w:after="0" w:line="23" w:lineRule="atLeast"/>
        <w:rPr>
          <w:rFonts w:ascii="Times New Roman" w:hAnsi="Times New Roman" w:cs="Times New Roman"/>
          <w:i/>
        </w:rPr>
      </w:pPr>
    </w:p>
    <w:p w14:paraId="0547DE26" w14:textId="77777777" w:rsidR="005E15E1" w:rsidRDefault="005E15E1" w:rsidP="00132C80">
      <w:pPr>
        <w:autoSpaceDE w:val="0"/>
        <w:autoSpaceDN w:val="0"/>
        <w:adjustRightInd w:val="0"/>
        <w:spacing w:after="0" w:line="23" w:lineRule="atLeast"/>
        <w:rPr>
          <w:rFonts w:ascii="Times New Roman" w:hAnsi="Times New Roman" w:cs="Times New Roman"/>
          <w:i/>
        </w:rPr>
      </w:pPr>
    </w:p>
    <w:p w14:paraId="453AA784" w14:textId="6E9D3385" w:rsidR="002B189B" w:rsidRPr="000F7960" w:rsidRDefault="002B189B" w:rsidP="000F7960">
      <w:pPr>
        <w:jc w:val="center"/>
        <w:rPr>
          <w:rFonts w:asciiTheme="minorHAnsi" w:hAnsiTheme="minorHAnsi" w:cstheme="minorHAnsi"/>
          <w:i/>
          <w:sz w:val="20"/>
          <w:szCs w:val="20"/>
        </w:rPr>
      </w:pPr>
      <w:r w:rsidRPr="000F7960">
        <w:rPr>
          <w:rFonts w:asciiTheme="minorHAnsi" w:hAnsiTheme="minorHAnsi" w:cstheme="minorHAnsi"/>
          <w:i/>
          <w:sz w:val="20"/>
          <w:szCs w:val="20"/>
        </w:rPr>
        <w:t>Za to publikacijo je odgovoren izključno avtor. Evropska unija ne odgovarja za kakršnokoli morebitno uporabo v njej navedenih informacij.</w:t>
      </w:r>
    </w:p>
    <w:sectPr w:rsidR="002B189B" w:rsidRPr="000F7960" w:rsidSect="007D0B41">
      <w:headerReference w:type="default" r:id="rId16"/>
      <w:footerReference w:type="default" r:id="rId17"/>
      <w:headerReference w:type="first" r:id="rId18"/>
      <w:footerReference w:type="first" r:id="rId19"/>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D464" w14:textId="77777777" w:rsidR="00942E83" w:rsidRDefault="00942E83" w:rsidP="008B71D4">
      <w:pPr>
        <w:spacing w:line="240" w:lineRule="auto"/>
      </w:pPr>
      <w:r>
        <w:separator/>
      </w:r>
    </w:p>
  </w:endnote>
  <w:endnote w:type="continuationSeparator" w:id="0">
    <w:p w14:paraId="54BCAF49" w14:textId="77777777" w:rsidR="00942E83" w:rsidRDefault="00942E83"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501934"/>
      <w:docPartObj>
        <w:docPartGallery w:val="Page Numbers (Bottom of Page)"/>
        <w:docPartUnique/>
      </w:docPartObj>
    </w:sdtPr>
    <w:sdtEndPr>
      <w:rPr>
        <w:rFonts w:asciiTheme="minorHAnsi" w:hAnsiTheme="minorHAnsi" w:cs="Tahoma"/>
        <w:sz w:val="20"/>
        <w:szCs w:val="20"/>
      </w:rPr>
    </w:sdtEndPr>
    <w:sdtContent>
      <w:p w14:paraId="3690CDBF" w14:textId="77777777" w:rsidR="005A4E8B" w:rsidRPr="00EE612F" w:rsidRDefault="005A4E8B">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sidR="002A4111">
          <w:rPr>
            <w:rFonts w:asciiTheme="minorHAnsi" w:hAnsiTheme="minorHAnsi" w:cs="Tahoma"/>
            <w:noProof/>
            <w:sz w:val="20"/>
            <w:szCs w:val="20"/>
          </w:rPr>
          <w:t>3</w:t>
        </w:r>
        <w:r w:rsidRPr="00EE612F">
          <w:rPr>
            <w:rFonts w:asciiTheme="minorHAnsi" w:hAnsiTheme="minorHAnsi" w:cs="Tahoma"/>
            <w:sz w:val="20"/>
            <w:szCs w:val="20"/>
          </w:rPr>
          <w:fldChar w:fldCharType="end"/>
        </w:r>
      </w:p>
    </w:sdtContent>
  </w:sdt>
  <w:p w14:paraId="6C31E915" w14:textId="77777777" w:rsidR="008B71D4" w:rsidRPr="005A4E8B" w:rsidRDefault="008B71D4" w:rsidP="005A4E8B">
    <w:pPr>
      <w:pStyle w:val="Noga"/>
    </w:pPr>
  </w:p>
  <w:p w14:paraId="51C7BC85" w14:textId="77777777" w:rsidR="009B4A20" w:rsidRDefault="009B4A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29F3" w14:textId="77777777" w:rsidR="005D0823" w:rsidRDefault="005D0823" w:rsidP="00FE2533">
    <w:pPr>
      <w:pStyle w:val="Noga"/>
      <w:jc w:val="center"/>
    </w:pPr>
  </w:p>
  <w:p w14:paraId="4AFB364E" w14:textId="3A568EE7" w:rsidR="005A4E8B" w:rsidRDefault="00D96439" w:rsidP="005D0823">
    <w:pPr>
      <w:pStyle w:val="Noga"/>
      <w:jc w:val="center"/>
    </w:pPr>
    <w:r>
      <w:rPr>
        <w:noProof/>
      </w:rPr>
      <w:drawing>
        <wp:inline distT="0" distB="0" distL="0" distR="0" wp14:anchorId="25B5139A" wp14:editId="2EBDD310">
          <wp:extent cx="5737225" cy="586740"/>
          <wp:effectExtent l="0" t="0" r="0" b="3810"/>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a:blip r:embed="rId1">
                    <a:extLst>
                      <a:ext uri="{28A0092B-C50C-407E-A947-70E740481C1C}">
                        <a14:useLocalDpi xmlns:a14="http://schemas.microsoft.com/office/drawing/2010/main" val="0"/>
                      </a:ext>
                    </a:extLst>
                  </a:blip>
                  <a:stretch>
                    <a:fillRect/>
                  </a:stretch>
                </pic:blipFill>
                <pic:spPr>
                  <a:xfrm>
                    <a:off x="0" y="0"/>
                    <a:ext cx="5737225" cy="586740"/>
                  </a:xfrm>
                  <a:prstGeom prst="rect">
                    <a:avLst/>
                  </a:prstGeom>
                </pic:spPr>
              </pic:pic>
            </a:graphicData>
          </a:graphic>
        </wp:inline>
      </w:drawing>
    </w:r>
  </w:p>
  <w:p w14:paraId="225F1ED0" w14:textId="77777777" w:rsidR="005A4E8B" w:rsidRDefault="005A4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D7D58" w14:textId="77777777" w:rsidR="00942E83" w:rsidRDefault="00942E83" w:rsidP="008B71D4">
      <w:pPr>
        <w:spacing w:line="240" w:lineRule="auto"/>
      </w:pPr>
      <w:r>
        <w:separator/>
      </w:r>
    </w:p>
  </w:footnote>
  <w:footnote w:type="continuationSeparator" w:id="0">
    <w:p w14:paraId="10401226" w14:textId="77777777" w:rsidR="00942E83" w:rsidRDefault="00942E83"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D5FF" w14:textId="77777777" w:rsidR="00EE612F" w:rsidRDefault="00D462F1" w:rsidP="005D0823">
    <w:pPr>
      <w:pStyle w:val="Glava"/>
      <w:jc w:val="left"/>
    </w:pPr>
    <w:r>
      <w:rPr>
        <w:noProof/>
        <w:lang w:eastAsia="sl-SI"/>
      </w:rPr>
      <w:drawing>
        <wp:inline distT="0" distB="0" distL="0" distR="0" wp14:anchorId="76400321" wp14:editId="10C50D51">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594379A4" w14:textId="77777777" w:rsidR="009B4A20" w:rsidRDefault="009B4A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8174" w14:textId="77777777" w:rsidR="006F3FBE" w:rsidRDefault="006F3FBE" w:rsidP="006F3FBE">
    <w:pPr>
      <w:pStyle w:val="Glava"/>
      <w:jc w:val="left"/>
    </w:pPr>
    <w:r w:rsidRPr="00D1174A">
      <w:rPr>
        <w:rFonts w:eastAsia="Calibri"/>
        <w:b/>
        <w:noProof/>
        <w:sz w:val="20"/>
        <w:szCs w:val="20"/>
        <w:lang w:eastAsia="sl-SI"/>
      </w:rPr>
      <w:drawing>
        <wp:anchor distT="0" distB="0" distL="114300" distR="114300" simplePos="0" relativeHeight="251659264" behindDoc="0" locked="0" layoutInCell="1" allowOverlap="1" wp14:anchorId="7CDD081E" wp14:editId="468D63F4">
          <wp:simplePos x="0" y="0"/>
          <wp:positionH relativeFrom="column">
            <wp:posOffset>3307080</wp:posOffset>
          </wp:positionH>
          <wp:positionV relativeFrom="paragraph">
            <wp:posOffset>38100</wp:posOffset>
          </wp:positionV>
          <wp:extent cx="2811780" cy="494665"/>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1178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394067A0" wp14:editId="76D432BF">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r>
      <w:tab/>
    </w:r>
  </w:p>
  <w:p w14:paraId="3929C32F" w14:textId="77777777" w:rsidR="00EE612F" w:rsidRDefault="00EE61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D74"/>
    <w:multiLevelType w:val="hybridMultilevel"/>
    <w:tmpl w:val="282EC90A"/>
    <w:lvl w:ilvl="0" w:tplc="14BA8924">
      <w:start w:val="1"/>
      <w:numFmt w:val="bullet"/>
      <w:lvlText w:val=""/>
      <w:lvlJc w:val="left"/>
      <w:pPr>
        <w:ind w:left="4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1201E"/>
    <w:multiLevelType w:val="hybridMultilevel"/>
    <w:tmpl w:val="BA48FDBE"/>
    <w:lvl w:ilvl="0" w:tplc="04240015">
      <w:start w:val="1"/>
      <w:numFmt w:val="upperLetter"/>
      <w:lvlText w:val="%1."/>
      <w:lvlJc w:val="left"/>
      <w:pPr>
        <w:ind w:left="644" w:hanging="360"/>
      </w:pPr>
      <w:rPr>
        <w:rFonts w:hint="default"/>
        <w:b/>
        <w:i w:val="0"/>
        <w:sz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963EF7"/>
    <w:multiLevelType w:val="hybridMultilevel"/>
    <w:tmpl w:val="5D84F75C"/>
    <w:lvl w:ilvl="0" w:tplc="59B6247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7E00BD"/>
    <w:multiLevelType w:val="hybridMultilevel"/>
    <w:tmpl w:val="F7AC1B54"/>
    <w:lvl w:ilvl="0" w:tplc="09F6705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6281E61"/>
    <w:multiLevelType w:val="hybridMultilevel"/>
    <w:tmpl w:val="1B30782C"/>
    <w:lvl w:ilvl="0" w:tplc="6B50360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D1F54DB"/>
    <w:multiLevelType w:val="hybridMultilevel"/>
    <w:tmpl w:val="B5C4B55E"/>
    <w:lvl w:ilvl="0" w:tplc="880229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B43697"/>
    <w:multiLevelType w:val="hybridMultilevel"/>
    <w:tmpl w:val="9FF040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A0436A"/>
    <w:multiLevelType w:val="hybridMultilevel"/>
    <w:tmpl w:val="4FB4048A"/>
    <w:lvl w:ilvl="0" w:tplc="E7D44B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A5D95"/>
    <w:multiLevelType w:val="hybridMultilevel"/>
    <w:tmpl w:val="1D30FDF6"/>
    <w:lvl w:ilvl="0" w:tplc="0DDAD580">
      <w:start w:val="4"/>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B62CA5"/>
    <w:multiLevelType w:val="multilevel"/>
    <w:tmpl w:val="2DF2EE70"/>
    <w:lvl w:ilvl="0">
      <w:start w:val="1"/>
      <w:numFmt w:val="decimal"/>
      <w:lvlText w:val="%1."/>
      <w:lvlJc w:val="left"/>
      <w:pPr>
        <w:tabs>
          <w:tab w:val="num" w:pos="360"/>
        </w:tabs>
        <w:ind w:left="360" w:hanging="360"/>
      </w:pPr>
    </w:lvl>
    <w:lvl w:ilvl="1">
      <w:start w:val="1"/>
      <w:numFmt w:val="decimal"/>
      <w:isLgl/>
      <w:lvlText w:val="%1.%2"/>
      <w:lvlJc w:val="left"/>
      <w:pPr>
        <w:ind w:left="678" w:hanging="360"/>
      </w:pPr>
      <w:rPr>
        <w:rFonts w:hint="default"/>
      </w:rPr>
    </w:lvl>
    <w:lvl w:ilvl="2">
      <w:start w:val="1"/>
      <w:numFmt w:val="decimal"/>
      <w:isLgl/>
      <w:lvlText w:val="%1.%2.%3"/>
      <w:lvlJc w:val="left"/>
      <w:pPr>
        <w:ind w:left="135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348" w:hanging="1440"/>
      </w:pPr>
      <w:rPr>
        <w:rFonts w:hint="default"/>
      </w:rPr>
    </w:lvl>
    <w:lvl w:ilvl="7">
      <w:start w:val="1"/>
      <w:numFmt w:val="decimal"/>
      <w:isLgl/>
      <w:lvlText w:val="%1.%2.%3.%4.%5.%6.%7.%8"/>
      <w:lvlJc w:val="left"/>
      <w:pPr>
        <w:ind w:left="3666" w:hanging="1440"/>
      </w:pPr>
      <w:rPr>
        <w:rFonts w:hint="default"/>
      </w:rPr>
    </w:lvl>
    <w:lvl w:ilvl="8">
      <w:start w:val="1"/>
      <w:numFmt w:val="decimal"/>
      <w:isLgl/>
      <w:lvlText w:val="%1.%2.%3.%4.%5.%6.%7.%8.%9"/>
      <w:lvlJc w:val="left"/>
      <w:pPr>
        <w:ind w:left="4344" w:hanging="1800"/>
      </w:pPr>
      <w:rPr>
        <w:rFonts w:hint="default"/>
      </w:rPr>
    </w:lvl>
  </w:abstractNum>
  <w:abstractNum w:abstractNumId="12" w15:restartNumberingAfterBreak="0">
    <w:nsid w:val="2DA260CF"/>
    <w:multiLevelType w:val="hybridMultilevel"/>
    <w:tmpl w:val="1512AFD2"/>
    <w:lvl w:ilvl="0" w:tplc="763C5C44">
      <w:start w:val="1"/>
      <w:numFmt w:val="decimal"/>
      <w:lvlText w:val="%1."/>
      <w:lvlJc w:val="left"/>
      <w:pPr>
        <w:ind w:left="678" w:hanging="360"/>
      </w:pPr>
      <w:rPr>
        <w:rFonts w:hint="default"/>
        <w:i/>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13"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912CFC"/>
    <w:multiLevelType w:val="hybridMultilevel"/>
    <w:tmpl w:val="19A0971E"/>
    <w:lvl w:ilvl="0" w:tplc="0CC8BBD2">
      <w:start w:val="1"/>
      <w:numFmt w:val="bullet"/>
      <w:lvlText w:val="–"/>
      <w:lvlJc w:val="left"/>
      <w:pPr>
        <w:ind w:left="786" w:hanging="360"/>
      </w:pPr>
      <w:rPr>
        <w:rFonts w:ascii="Tahoma" w:eastAsiaTheme="minorHAnsi" w:hAnsi="Tahoma" w:cs="Tahoma"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C29092B"/>
    <w:multiLevelType w:val="hybridMultilevel"/>
    <w:tmpl w:val="CAC8D41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5F6B654A"/>
    <w:multiLevelType w:val="hybridMultilevel"/>
    <w:tmpl w:val="B1000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FA2777"/>
    <w:multiLevelType w:val="hybridMultilevel"/>
    <w:tmpl w:val="43CA2A22"/>
    <w:lvl w:ilvl="0" w:tplc="AE7A2844">
      <w:numFmt w:val="bullet"/>
      <w:lvlText w:val="-"/>
      <w:lvlJc w:val="left"/>
      <w:pPr>
        <w:ind w:left="709" w:hanging="360"/>
      </w:pPr>
      <w:rPr>
        <w:rFonts w:ascii="Tahoma" w:eastAsiaTheme="minorHAnsi" w:hAnsi="Tahoma" w:cs="Tahoma"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8" w15:restartNumberingAfterBreak="0">
    <w:nsid w:val="62B04338"/>
    <w:multiLevelType w:val="hybridMultilevel"/>
    <w:tmpl w:val="BD94513E"/>
    <w:lvl w:ilvl="0" w:tplc="BED22CAA">
      <w:start w:val="3"/>
      <w:numFmt w:val="bullet"/>
      <w:lvlText w:val="-"/>
      <w:lvlJc w:val="left"/>
      <w:pPr>
        <w:ind w:left="2160" w:hanging="360"/>
      </w:pPr>
      <w:rPr>
        <w:rFonts w:ascii="Arial" w:eastAsiaTheme="minorHAnsi"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4786FF3"/>
    <w:multiLevelType w:val="hybridMultilevel"/>
    <w:tmpl w:val="00506DC2"/>
    <w:lvl w:ilvl="0" w:tplc="DEDE8BB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B04F86"/>
    <w:multiLevelType w:val="hybridMultilevel"/>
    <w:tmpl w:val="EA5EAF42"/>
    <w:lvl w:ilvl="0" w:tplc="C036517E">
      <w:start w:val="1"/>
      <w:numFmt w:val="decimal"/>
      <w:lvlText w:val="%1."/>
      <w:lvlJc w:val="left"/>
      <w:pPr>
        <w:ind w:left="720" w:hanging="360"/>
      </w:pPr>
      <w:rPr>
        <w:rFonts w:ascii="Calibri" w:hAnsi="Calibri"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9C24E8C"/>
    <w:multiLevelType w:val="hybridMultilevel"/>
    <w:tmpl w:val="20F811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6"/>
  </w:num>
  <w:num w:numId="4">
    <w:abstractNumId w:val="10"/>
  </w:num>
  <w:num w:numId="5">
    <w:abstractNumId w:val="2"/>
  </w:num>
  <w:num w:numId="6">
    <w:abstractNumId w:val="23"/>
  </w:num>
  <w:num w:numId="7">
    <w:abstractNumId w:val="17"/>
  </w:num>
  <w:num w:numId="8">
    <w:abstractNumId w:val="8"/>
  </w:num>
  <w:num w:numId="9">
    <w:abstractNumId w:val="16"/>
  </w:num>
  <w:num w:numId="10">
    <w:abstractNumId w:val="14"/>
  </w:num>
  <w:num w:numId="11">
    <w:abstractNumId w:val="9"/>
  </w:num>
  <w:num w:numId="12">
    <w:abstractNumId w:val="15"/>
  </w:num>
  <w:num w:numId="13">
    <w:abstractNumId w:val="11"/>
  </w:num>
  <w:num w:numId="14">
    <w:abstractNumId w:val="5"/>
  </w:num>
  <w:num w:numId="15">
    <w:abstractNumId w:val="1"/>
  </w:num>
  <w:num w:numId="16">
    <w:abstractNumId w:val="18"/>
  </w:num>
  <w:num w:numId="17">
    <w:abstractNumId w:val="12"/>
  </w:num>
  <w:num w:numId="18">
    <w:abstractNumId w:val="7"/>
  </w:num>
  <w:num w:numId="19">
    <w:abstractNumId w:val="4"/>
  </w:num>
  <w:num w:numId="20">
    <w:abstractNumId w:val="21"/>
  </w:num>
  <w:num w:numId="21">
    <w:abstractNumId w:val="20"/>
  </w:num>
  <w:num w:numId="22">
    <w:abstractNumId w:val="3"/>
  </w:num>
  <w:num w:numId="23">
    <w:abstractNumId w:val="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12636"/>
    <w:rsid w:val="00055BDA"/>
    <w:rsid w:val="000602C1"/>
    <w:rsid w:val="00065041"/>
    <w:rsid w:val="00077165"/>
    <w:rsid w:val="000832A0"/>
    <w:rsid w:val="000A51E0"/>
    <w:rsid w:val="000E79B7"/>
    <w:rsid w:val="000F3BAB"/>
    <w:rsid w:val="000F7960"/>
    <w:rsid w:val="001153E0"/>
    <w:rsid w:val="00122D8F"/>
    <w:rsid w:val="001324F9"/>
    <w:rsid w:val="00132C80"/>
    <w:rsid w:val="00136948"/>
    <w:rsid w:val="00150F06"/>
    <w:rsid w:val="001625DF"/>
    <w:rsid w:val="00171C4C"/>
    <w:rsid w:val="001916E7"/>
    <w:rsid w:val="001B2328"/>
    <w:rsid w:val="001B595A"/>
    <w:rsid w:val="001B6F90"/>
    <w:rsid w:val="001C17F2"/>
    <w:rsid w:val="001C7B8B"/>
    <w:rsid w:val="001E06AE"/>
    <w:rsid w:val="001E6305"/>
    <w:rsid w:val="001F2A8F"/>
    <w:rsid w:val="001F2E97"/>
    <w:rsid w:val="001F62F4"/>
    <w:rsid w:val="00206425"/>
    <w:rsid w:val="002133A3"/>
    <w:rsid w:val="002339F1"/>
    <w:rsid w:val="00237CDA"/>
    <w:rsid w:val="00240A04"/>
    <w:rsid w:val="002434C3"/>
    <w:rsid w:val="00246603"/>
    <w:rsid w:val="00257163"/>
    <w:rsid w:val="002603DC"/>
    <w:rsid w:val="00270B46"/>
    <w:rsid w:val="00271AD6"/>
    <w:rsid w:val="00276EF9"/>
    <w:rsid w:val="00295701"/>
    <w:rsid w:val="002A4111"/>
    <w:rsid w:val="002B189B"/>
    <w:rsid w:val="002B3730"/>
    <w:rsid w:val="002B49DA"/>
    <w:rsid w:val="002C1D68"/>
    <w:rsid w:val="002C311F"/>
    <w:rsid w:val="002E40B3"/>
    <w:rsid w:val="00301B17"/>
    <w:rsid w:val="00313C1F"/>
    <w:rsid w:val="00321ADD"/>
    <w:rsid w:val="0032256D"/>
    <w:rsid w:val="00322F6F"/>
    <w:rsid w:val="003240BC"/>
    <w:rsid w:val="00347E43"/>
    <w:rsid w:val="00386287"/>
    <w:rsid w:val="00393BD1"/>
    <w:rsid w:val="00394B04"/>
    <w:rsid w:val="003951A5"/>
    <w:rsid w:val="003B1F76"/>
    <w:rsid w:val="003D0160"/>
    <w:rsid w:val="003D6198"/>
    <w:rsid w:val="003E5ACB"/>
    <w:rsid w:val="003F3571"/>
    <w:rsid w:val="004067B0"/>
    <w:rsid w:val="00410773"/>
    <w:rsid w:val="0043611D"/>
    <w:rsid w:val="00483B84"/>
    <w:rsid w:val="00487CC6"/>
    <w:rsid w:val="004940C0"/>
    <w:rsid w:val="004A2AC0"/>
    <w:rsid w:val="004A4CAF"/>
    <w:rsid w:val="004B41D3"/>
    <w:rsid w:val="004C3D0C"/>
    <w:rsid w:val="004D2EDF"/>
    <w:rsid w:val="004D49CA"/>
    <w:rsid w:val="004D5384"/>
    <w:rsid w:val="004F1CA8"/>
    <w:rsid w:val="005452C5"/>
    <w:rsid w:val="0055031F"/>
    <w:rsid w:val="005547FD"/>
    <w:rsid w:val="0055796F"/>
    <w:rsid w:val="00585B48"/>
    <w:rsid w:val="00593FCA"/>
    <w:rsid w:val="005A4E8B"/>
    <w:rsid w:val="005B2BD5"/>
    <w:rsid w:val="005B2E67"/>
    <w:rsid w:val="005D0029"/>
    <w:rsid w:val="005D0823"/>
    <w:rsid w:val="005E15E1"/>
    <w:rsid w:val="005E5106"/>
    <w:rsid w:val="005F4EA0"/>
    <w:rsid w:val="0060705A"/>
    <w:rsid w:val="00610F85"/>
    <w:rsid w:val="00616F03"/>
    <w:rsid w:val="00623C10"/>
    <w:rsid w:val="00624EDD"/>
    <w:rsid w:val="00631B03"/>
    <w:rsid w:val="00636D36"/>
    <w:rsid w:val="00641180"/>
    <w:rsid w:val="00641A44"/>
    <w:rsid w:val="00651525"/>
    <w:rsid w:val="00660A24"/>
    <w:rsid w:val="006646A8"/>
    <w:rsid w:val="00666055"/>
    <w:rsid w:val="00666586"/>
    <w:rsid w:val="00667071"/>
    <w:rsid w:val="006704D4"/>
    <w:rsid w:val="00680294"/>
    <w:rsid w:val="006826AE"/>
    <w:rsid w:val="00685326"/>
    <w:rsid w:val="006A384A"/>
    <w:rsid w:val="006A46EF"/>
    <w:rsid w:val="006A6E4E"/>
    <w:rsid w:val="006B605A"/>
    <w:rsid w:val="006C7DA5"/>
    <w:rsid w:val="006F3FBE"/>
    <w:rsid w:val="006F5E8D"/>
    <w:rsid w:val="00707DE4"/>
    <w:rsid w:val="0071228F"/>
    <w:rsid w:val="00724C3D"/>
    <w:rsid w:val="00733051"/>
    <w:rsid w:val="007446AE"/>
    <w:rsid w:val="007532B2"/>
    <w:rsid w:val="00762E7D"/>
    <w:rsid w:val="00763E83"/>
    <w:rsid w:val="00764E45"/>
    <w:rsid w:val="007779F9"/>
    <w:rsid w:val="007A637F"/>
    <w:rsid w:val="007A7E1B"/>
    <w:rsid w:val="007B35B6"/>
    <w:rsid w:val="007D0B41"/>
    <w:rsid w:val="007F22DB"/>
    <w:rsid w:val="00807A1A"/>
    <w:rsid w:val="00813D8C"/>
    <w:rsid w:val="0081513F"/>
    <w:rsid w:val="00833EB2"/>
    <w:rsid w:val="008574EC"/>
    <w:rsid w:val="00857E5C"/>
    <w:rsid w:val="00870182"/>
    <w:rsid w:val="0088169C"/>
    <w:rsid w:val="008A4E8C"/>
    <w:rsid w:val="008B71D4"/>
    <w:rsid w:val="008C5CD1"/>
    <w:rsid w:val="008D0202"/>
    <w:rsid w:val="008D0C50"/>
    <w:rsid w:val="008D4789"/>
    <w:rsid w:val="008F4CA0"/>
    <w:rsid w:val="008F58E7"/>
    <w:rsid w:val="008F7486"/>
    <w:rsid w:val="00911B7A"/>
    <w:rsid w:val="009174B2"/>
    <w:rsid w:val="009203F0"/>
    <w:rsid w:val="009271E4"/>
    <w:rsid w:val="00936F72"/>
    <w:rsid w:val="00942E83"/>
    <w:rsid w:val="00945F93"/>
    <w:rsid w:val="00963433"/>
    <w:rsid w:val="00974A99"/>
    <w:rsid w:val="009920E4"/>
    <w:rsid w:val="009928A0"/>
    <w:rsid w:val="00997F52"/>
    <w:rsid w:val="009B4A20"/>
    <w:rsid w:val="009C6AA4"/>
    <w:rsid w:val="009D2BC3"/>
    <w:rsid w:val="009D316C"/>
    <w:rsid w:val="009F2BF2"/>
    <w:rsid w:val="009F4693"/>
    <w:rsid w:val="00A00864"/>
    <w:rsid w:val="00A07DDC"/>
    <w:rsid w:val="00A13EC5"/>
    <w:rsid w:val="00A16C9D"/>
    <w:rsid w:val="00A22E16"/>
    <w:rsid w:val="00A35CA3"/>
    <w:rsid w:val="00A35FBA"/>
    <w:rsid w:val="00A57747"/>
    <w:rsid w:val="00A91F2B"/>
    <w:rsid w:val="00A95BC9"/>
    <w:rsid w:val="00A971CB"/>
    <w:rsid w:val="00AD5AC8"/>
    <w:rsid w:val="00AE085B"/>
    <w:rsid w:val="00AE32FC"/>
    <w:rsid w:val="00AE3D04"/>
    <w:rsid w:val="00AE4737"/>
    <w:rsid w:val="00AF7A6E"/>
    <w:rsid w:val="00B227AB"/>
    <w:rsid w:val="00B33C4F"/>
    <w:rsid w:val="00B417C6"/>
    <w:rsid w:val="00B41B74"/>
    <w:rsid w:val="00B56D65"/>
    <w:rsid w:val="00B67DAF"/>
    <w:rsid w:val="00B70BA1"/>
    <w:rsid w:val="00B720BE"/>
    <w:rsid w:val="00B83927"/>
    <w:rsid w:val="00B87B25"/>
    <w:rsid w:val="00B9139E"/>
    <w:rsid w:val="00B949D5"/>
    <w:rsid w:val="00BF325D"/>
    <w:rsid w:val="00C010FB"/>
    <w:rsid w:val="00C05698"/>
    <w:rsid w:val="00C12A20"/>
    <w:rsid w:val="00C16745"/>
    <w:rsid w:val="00C20927"/>
    <w:rsid w:val="00C23130"/>
    <w:rsid w:val="00C54458"/>
    <w:rsid w:val="00C63344"/>
    <w:rsid w:val="00C86DCE"/>
    <w:rsid w:val="00C8761E"/>
    <w:rsid w:val="00C92776"/>
    <w:rsid w:val="00CA1D50"/>
    <w:rsid w:val="00CA4149"/>
    <w:rsid w:val="00CB6782"/>
    <w:rsid w:val="00CC09EA"/>
    <w:rsid w:val="00CC520A"/>
    <w:rsid w:val="00CD1693"/>
    <w:rsid w:val="00CE5797"/>
    <w:rsid w:val="00CF07BC"/>
    <w:rsid w:val="00D010AB"/>
    <w:rsid w:val="00D03B2C"/>
    <w:rsid w:val="00D142D5"/>
    <w:rsid w:val="00D14652"/>
    <w:rsid w:val="00D31409"/>
    <w:rsid w:val="00D462F1"/>
    <w:rsid w:val="00D564E4"/>
    <w:rsid w:val="00D63557"/>
    <w:rsid w:val="00D711CC"/>
    <w:rsid w:val="00D72549"/>
    <w:rsid w:val="00D75F90"/>
    <w:rsid w:val="00D83566"/>
    <w:rsid w:val="00D96439"/>
    <w:rsid w:val="00DE7B8F"/>
    <w:rsid w:val="00DF63D9"/>
    <w:rsid w:val="00E04109"/>
    <w:rsid w:val="00E1297F"/>
    <w:rsid w:val="00E17A84"/>
    <w:rsid w:val="00E34858"/>
    <w:rsid w:val="00E41E13"/>
    <w:rsid w:val="00E93C74"/>
    <w:rsid w:val="00E93EAC"/>
    <w:rsid w:val="00E958E8"/>
    <w:rsid w:val="00EC0B71"/>
    <w:rsid w:val="00EC136B"/>
    <w:rsid w:val="00EE4472"/>
    <w:rsid w:val="00EE5A0C"/>
    <w:rsid w:val="00EE612F"/>
    <w:rsid w:val="00F00898"/>
    <w:rsid w:val="00F11762"/>
    <w:rsid w:val="00F265C4"/>
    <w:rsid w:val="00F42CD7"/>
    <w:rsid w:val="00F43092"/>
    <w:rsid w:val="00F45061"/>
    <w:rsid w:val="00F83D24"/>
    <w:rsid w:val="00F87FC3"/>
    <w:rsid w:val="00FB2D6B"/>
    <w:rsid w:val="00FC2037"/>
    <w:rsid w:val="00FD22D1"/>
    <w:rsid w:val="00FD6BBE"/>
    <w:rsid w:val="00FE072C"/>
    <w:rsid w:val="00FE2533"/>
    <w:rsid w:val="00FE6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7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6F90"/>
    <w:pPr>
      <w:spacing w:before="120" w:after="120" w:line="276" w:lineRule="auto"/>
    </w:pPr>
    <w:rPr>
      <w:rFonts w:ascii="Calibri" w:hAnsi="Calibri"/>
    </w:rPr>
  </w:style>
  <w:style w:type="paragraph" w:styleId="Naslov5">
    <w:name w:val="heading 5"/>
    <w:basedOn w:val="Navaden"/>
    <w:next w:val="Navaden"/>
    <w:link w:val="Naslov5Znak"/>
    <w:uiPriority w:val="9"/>
    <w:semiHidden/>
    <w:unhideWhenUsed/>
    <w:qFormat/>
    <w:rsid w:val="008574E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34"/>
    <w:rsid w:val="002B189B"/>
    <w:rPr>
      <w:rFonts w:asciiTheme="minorHAnsi" w:hAnsiTheme="minorHAnsi"/>
    </w:rPr>
  </w:style>
  <w:style w:type="character" w:styleId="Hiperpovezava">
    <w:name w:val="Hyperlink"/>
    <w:basedOn w:val="Privzetapisavaodstavka"/>
    <w:uiPriority w:val="99"/>
    <w:unhideWhenUsed/>
    <w:rsid w:val="002B189B"/>
    <w:rPr>
      <w:color w:val="0000FF"/>
      <w:u w:val="single"/>
    </w:rPr>
  </w:style>
  <w:style w:type="character" w:styleId="Pripombasklic">
    <w:name w:val="annotation reference"/>
    <w:basedOn w:val="Privzetapisavaodstavka"/>
    <w:semiHidden/>
    <w:unhideWhenUsed/>
    <w:rsid w:val="00D14652"/>
    <w:rPr>
      <w:sz w:val="16"/>
      <w:szCs w:val="16"/>
    </w:rPr>
  </w:style>
  <w:style w:type="paragraph" w:styleId="Pripombabesedilo">
    <w:name w:val="annotation text"/>
    <w:basedOn w:val="Navaden"/>
    <w:link w:val="PripombabesediloZnak"/>
    <w:semiHidden/>
    <w:unhideWhenUsed/>
    <w:rsid w:val="00D14652"/>
    <w:pPr>
      <w:spacing w:before="0" w:after="0" w:line="240" w:lineRule="auto"/>
      <w:jc w:val="left"/>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semiHidden/>
    <w:rsid w:val="00D14652"/>
    <w:rPr>
      <w:rFonts w:eastAsia="Times New Roman" w:cs="Times New Roman"/>
      <w:sz w:val="20"/>
      <w:szCs w:val="20"/>
      <w:lang w:eastAsia="sl-SI"/>
    </w:rPr>
  </w:style>
  <w:style w:type="paragraph" w:customStyle="1" w:styleId="len">
    <w:name w:val="člen"/>
    <w:basedOn w:val="Naslov5"/>
    <w:rsid w:val="008574EC"/>
    <w:pPr>
      <w:keepLines w:val="0"/>
      <w:pBdr>
        <w:top w:val="single" w:sz="4" w:space="1" w:color="auto"/>
        <w:left w:val="single" w:sz="4" w:space="4" w:color="auto"/>
        <w:bottom w:val="single" w:sz="4" w:space="1" w:color="auto"/>
        <w:right w:val="single" w:sz="4" w:space="4" w:color="auto"/>
      </w:pBdr>
      <w:spacing w:before="0" w:line="240" w:lineRule="auto"/>
      <w:ind w:left="993" w:right="-57" w:hanging="993"/>
      <w:jc w:val="center"/>
    </w:pPr>
    <w:rPr>
      <w:rFonts w:ascii="Tahoma" w:eastAsia="Times New Roman" w:hAnsi="Tahoma" w:cs="Times New Roman"/>
      <w:b/>
      <w:color w:val="auto"/>
      <w:sz w:val="24"/>
      <w:szCs w:val="24"/>
    </w:rPr>
  </w:style>
  <w:style w:type="character" w:customStyle="1" w:styleId="Naslov5Znak">
    <w:name w:val="Naslov 5 Znak"/>
    <w:basedOn w:val="Privzetapisavaodstavka"/>
    <w:link w:val="Naslov5"/>
    <w:uiPriority w:val="9"/>
    <w:semiHidden/>
    <w:rsid w:val="008574EC"/>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E958E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85827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5-01-1688" TargetMode="External"/><Relationship Id="rId13" Type="http://schemas.openxmlformats.org/officeDocument/2006/relationships/hyperlink" Target="http://www.uradni-list.si/1/objava.jsp?sop=2011-01-228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05-01-168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430" TargetMode="External"/><Relationship Id="rId5" Type="http://schemas.openxmlformats.org/officeDocument/2006/relationships/webSettings" Target="webSettings.xml"/><Relationship Id="rId15" Type="http://schemas.openxmlformats.org/officeDocument/2006/relationships/hyperlink" Target="http://www.uradni-list.si/1/objava.jsp?sop=2015-01-3430" TargetMode="External"/><Relationship Id="rId10" Type="http://schemas.openxmlformats.org/officeDocument/2006/relationships/hyperlink" Target="http://www.uradni-list.si/1/objava.jsp?sop=2014-01-260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1-01-2287" TargetMode="External"/><Relationship Id="rId14" Type="http://schemas.openxmlformats.org/officeDocument/2006/relationships/hyperlink" Target="http://www.uradni-list.si/1/objava.jsp?sop=2014-01-2609"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7D8DFC-265D-4EA2-AE36-EC3B1489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1550</Words>
  <Characters>8838</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2019-01-31T14:17:00Z</dcterms:created>
  <dcterms:modified xsi:type="dcterms:W3CDTF">2019-02-11T13:03:00Z</dcterms:modified>
</cp:coreProperties>
</file>